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718185">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询价采购文件</w:t>
      </w:r>
    </w:p>
    <w:p w14:paraId="3D829366">
      <w:pPr>
        <w:ind w:firstLine="420" w:firstLineChars="200"/>
      </w:pPr>
    </w:p>
    <w:p w14:paraId="555D7FDA">
      <w:pPr>
        <w:pStyle w:val="11"/>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7EFEB930">
      <w:pPr>
        <w:pStyle w:val="11"/>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1.项目编号：CBJS-2025-ZC010</w:t>
      </w:r>
    </w:p>
    <w:p w14:paraId="0D137554">
      <w:pPr>
        <w:pStyle w:val="11"/>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w:t>
      </w:r>
      <w:r>
        <w:rPr>
          <w:rFonts w:hint="eastAsia" w:ascii="Times New Roman" w:hAnsi="Times New Roman" w:eastAsia="仿宋_GB2312"/>
          <w:color w:val="000000"/>
          <w:sz w:val="28"/>
          <w:szCs w:val="28"/>
        </w:rPr>
        <w:t>合肥和平路 P+R 停车场机械车库年度维保服务项目</w:t>
      </w:r>
    </w:p>
    <w:p w14:paraId="3E88D9FA">
      <w:pPr>
        <w:pStyle w:val="11"/>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3.项目范围：对合肥和平路 P+R 停车场的垂直升降梳齿式塔库停车系统进行年度维保服务，包括但不限于设备的日常巡检、定期保养、故障维修、紧急抢修、维保档案管理等，确保设备安全、稳定运行，满足市民停车需求。</w:t>
      </w:r>
    </w:p>
    <w:p w14:paraId="231F2A15">
      <w:pPr>
        <w:pStyle w:val="11"/>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7D9E2E6F">
      <w:pPr>
        <w:pStyle w:val="11"/>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5.项目概况：合肥和平路 P+R 停车场位于东二环与和平路交口西南角，为地上 11 层垂直升降梳齿式塔库停车系统，占地面积 2064 平方米，设有机械停车位 140 个。该系统自动化程度高，是市民重要的公共交通接驳设施。为确保系统长期、安全、稳定、高效运行，预防设备故障，延长使用寿命，保障市民停车便利与安全，现对停车场机械车库系统实施专业化、规范化年度维保服务。</w:t>
      </w:r>
    </w:p>
    <w:p w14:paraId="38684B1D">
      <w:pPr>
        <w:pStyle w:val="11"/>
        <w:widowControl/>
        <w:spacing w:beforeAutospacing="0" w:afterAutospacing="0" w:line="540" w:lineRule="exact"/>
        <w:ind w:firstLine="560" w:firstLineChars="200"/>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14167BDE">
      <w:pPr>
        <w:pStyle w:val="11"/>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7.项目预算：10万元</w:t>
      </w:r>
    </w:p>
    <w:p w14:paraId="3D9AAF71">
      <w:pPr>
        <w:pStyle w:val="11"/>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份数：共1份，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Times New Roman" w:hAnsi="Times New Roman" w:eastAsia="仿宋_GB2312"/>
          <w:sz w:val="28"/>
          <w:szCs w:val="28"/>
        </w:rPr>
        <w:t>。</w:t>
      </w:r>
    </w:p>
    <w:p w14:paraId="724959F0">
      <w:pPr>
        <w:pStyle w:val="11"/>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资格条件及相关说明</w:t>
      </w:r>
    </w:p>
    <w:p w14:paraId="030C4EDE">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1.投标人具有独立法人资格，独立承担民事责任的能力，具备有效的营业执照；</w:t>
      </w:r>
    </w:p>
    <w:p w14:paraId="0A3A45BC">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2.投标人资质要求：具备特种设备安装改造维修许可证。</w:t>
      </w:r>
    </w:p>
    <w:p w14:paraId="789201C8">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3.投标人业绩要求：近三年（2022 年 1 月至今）至少完成过 1 个机械式停车设备年度维保项目，需提供维保合同关键页（含项目名称、金额、签字页）、至少一份维保记录（如月度巡检表）、至少一份服务报告（如季度或年度报告）。</w:t>
      </w:r>
    </w:p>
    <w:p w14:paraId="145B473E">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4.项目负责人资格要求：/</w:t>
      </w:r>
    </w:p>
    <w:p w14:paraId="0CC8C7F4">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5.信誉要求：信誉良好。（需提供无不良征信承诺书，见附件）</w:t>
      </w:r>
    </w:p>
    <w:p w14:paraId="0DAB987C">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6.与招标人存在利害关系可能影响招标公正性的法人、其他组织或个人，不得参加投标。</w:t>
      </w:r>
    </w:p>
    <w:p w14:paraId="0B059368">
      <w:pPr>
        <w:pStyle w:val="11"/>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7.本项目不允许分包、不允许转包；一经发现将取消投标人中标资格。</w:t>
      </w:r>
    </w:p>
    <w:p w14:paraId="6FF4C5C2">
      <w:pPr>
        <w:pStyle w:val="11"/>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项目报价</w:t>
      </w:r>
    </w:p>
    <w:p w14:paraId="1C53A089">
      <w:pPr>
        <w:pStyle w:val="11"/>
        <w:widowControl/>
        <w:spacing w:beforeAutospacing="0" w:afterAutospacing="0" w:line="540" w:lineRule="exact"/>
        <w:ind w:firstLine="560" w:firstLineChars="200"/>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4F426164">
      <w:pPr>
        <w:pStyle w:val="11"/>
        <w:widowControl/>
        <w:spacing w:beforeAutospacing="0" w:afterAutospacing="0" w:line="540" w:lineRule="exact"/>
        <w:ind w:firstLine="560" w:firstLineChars="200"/>
        <w:jc w:val="both"/>
        <w:rPr>
          <w:rFonts w:ascii="Times New Roman" w:hAnsi="Times New Roman" w:eastAsia="仿宋_GB2312"/>
          <w:sz w:val="28"/>
          <w:szCs w:val="28"/>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409F06F4">
      <w:pPr>
        <w:pStyle w:val="11"/>
        <w:widowControl/>
        <w:spacing w:beforeAutospacing="0" w:afterAutospacing="0" w:line="540" w:lineRule="exact"/>
        <w:ind w:firstLine="560" w:firstLineChars="200"/>
        <w:jc w:val="both"/>
        <w:rPr>
          <w:rFonts w:ascii="仿宋_GB2312" w:hAnsi="仿宋_GB2312" w:eastAsia="仿宋_GB2312" w:cs="仿宋_GB2312"/>
          <w:color w:val="000000"/>
          <w:sz w:val="28"/>
          <w:szCs w:val="28"/>
          <w:highlight w:val="none"/>
          <w:shd w:val="clear" w:color="auto" w:fill="auto"/>
          <w:lang w:bidi="ar"/>
        </w:rPr>
      </w:pPr>
      <w:r>
        <w:rPr>
          <w:rFonts w:hint="eastAsia" w:ascii="仿宋_GB2312" w:hAnsi="仿宋_GB2312" w:eastAsia="仿宋_GB2312" w:cs="仿宋_GB2312"/>
          <w:color w:val="000000"/>
          <w:sz w:val="28"/>
          <w:szCs w:val="28"/>
          <w:highlight w:val="none"/>
          <w:shd w:val="clear" w:color="auto" w:fill="auto"/>
          <w:lang w:bidi="ar"/>
        </w:rPr>
        <w:t>3.最高投标限价：10万（含税价）。</w:t>
      </w:r>
    </w:p>
    <w:p w14:paraId="2FDA9F60"/>
    <w:p w14:paraId="7120EC74">
      <w:pPr>
        <w:pStyle w:val="11"/>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投标材料提交</w:t>
      </w:r>
    </w:p>
    <w:p w14:paraId="171C2264">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2D6020BC">
      <w:pPr>
        <w:spacing w:line="540" w:lineRule="exact"/>
        <w:ind w:firstLine="560" w:firstLineChars="200"/>
        <w:rPr>
          <w:rFonts w:ascii="仿宋_GB2312" w:eastAsia="仿宋_GB2312"/>
          <w:sz w:val="28"/>
          <w:szCs w:val="28"/>
        </w:rPr>
      </w:pPr>
      <w:r>
        <w:rPr>
          <w:rFonts w:hint="eastAsia" w:ascii="仿宋_GB2312" w:eastAsia="仿宋_GB2312"/>
          <w:sz w:val="28"/>
          <w:szCs w:val="28"/>
        </w:rPr>
        <w:t>1.投标函（格式见附件1）</w:t>
      </w:r>
    </w:p>
    <w:p w14:paraId="5BD48DEF">
      <w:pPr>
        <w:spacing w:line="540" w:lineRule="exact"/>
        <w:ind w:firstLine="560" w:firstLineChars="200"/>
        <w:rPr>
          <w:rFonts w:ascii="仿宋_GB2312" w:eastAsia="仿宋_GB2312"/>
          <w:sz w:val="28"/>
          <w:szCs w:val="28"/>
        </w:rPr>
      </w:pPr>
      <w:r>
        <w:rPr>
          <w:rFonts w:hint="eastAsia" w:ascii="仿宋_GB2312" w:eastAsia="仿宋_GB2312"/>
          <w:sz w:val="28"/>
          <w:szCs w:val="28"/>
        </w:rPr>
        <w:t>2.报价单（格式见附件2）</w:t>
      </w:r>
    </w:p>
    <w:p w14:paraId="0455E82A">
      <w:pPr>
        <w:spacing w:line="540" w:lineRule="exact"/>
        <w:ind w:firstLine="560" w:firstLineChars="200"/>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（加盖公章）</w:t>
      </w:r>
    </w:p>
    <w:p w14:paraId="6EB83AAB">
      <w:pPr>
        <w:spacing w:line="540" w:lineRule="exact"/>
        <w:ind w:firstLine="560" w:firstLineChars="200"/>
        <w:rPr>
          <w:rFonts w:ascii="仿宋_GB2312" w:eastAsia="仿宋_GB2312"/>
          <w:sz w:val="28"/>
          <w:szCs w:val="28"/>
        </w:rPr>
      </w:pPr>
      <w:r>
        <w:rPr>
          <w:rFonts w:hint="eastAsia" w:ascii="仿宋_GB2312" w:eastAsia="仿宋_GB2312"/>
          <w:sz w:val="28"/>
          <w:szCs w:val="28"/>
        </w:rPr>
        <w:t>4.授权委托书（格式见附件5）</w:t>
      </w:r>
    </w:p>
    <w:p w14:paraId="2CAFA0CB">
      <w:pPr>
        <w:spacing w:line="540" w:lineRule="exact"/>
        <w:ind w:firstLine="560" w:firstLineChars="200"/>
        <w:rPr>
          <w:rFonts w:ascii="仿宋_GB2312" w:eastAsia="仿宋_GB2312"/>
          <w:sz w:val="28"/>
          <w:szCs w:val="28"/>
        </w:rPr>
      </w:pPr>
      <w:r>
        <w:rPr>
          <w:rFonts w:hint="eastAsia" w:ascii="仿宋_GB2312" w:eastAsia="仿宋_GB2312"/>
          <w:sz w:val="28"/>
          <w:szCs w:val="28"/>
        </w:rPr>
        <w:t>5.相关业绩案例</w:t>
      </w:r>
    </w:p>
    <w:p w14:paraId="68B84A29">
      <w:pPr>
        <w:widowControl/>
        <w:spacing w:line="540" w:lineRule="exact"/>
        <w:ind w:firstLine="560" w:firstLineChars="200"/>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w:t>
      </w:r>
    </w:p>
    <w:p w14:paraId="0101EC80">
      <w:pPr>
        <w:widowControl/>
        <w:spacing w:line="540" w:lineRule="exact"/>
        <w:ind w:firstLine="560" w:firstLineChars="200"/>
        <w:jc w:val="left"/>
        <w:rPr>
          <w:rFonts w:ascii="仿宋_GB2312" w:eastAsia="仿宋_GB2312"/>
          <w:sz w:val="28"/>
          <w:szCs w:val="28"/>
        </w:rPr>
      </w:pPr>
      <w:r>
        <w:rPr>
          <w:rFonts w:hint="eastAsia" w:ascii="仿宋_GB2312" w:hAnsi="宋体" w:eastAsia="仿宋_GB2312" w:cs="仿宋_GB2312"/>
          <w:color w:val="000000"/>
          <w:kern w:val="0"/>
          <w:sz w:val="28"/>
          <w:szCs w:val="28"/>
          <w:lang w:bidi="ar"/>
        </w:rPr>
        <w:t>7.拟派本项目人员清单：拟派团队人员情况一览表（后附人员相关资格证书）（格式见附件6）；</w:t>
      </w:r>
    </w:p>
    <w:p w14:paraId="41DAA9AA">
      <w:pPr>
        <w:spacing w:line="540" w:lineRule="exact"/>
        <w:ind w:firstLine="560" w:firstLineChars="200"/>
        <w:rPr>
          <w:rFonts w:ascii="仿宋_GB2312" w:eastAsia="仿宋_GB2312"/>
          <w:sz w:val="28"/>
          <w:szCs w:val="28"/>
        </w:rPr>
      </w:pPr>
      <w:r>
        <w:rPr>
          <w:rFonts w:hint="eastAsia" w:ascii="仿宋_GB2312" w:eastAsia="仿宋_GB2312"/>
          <w:sz w:val="28"/>
          <w:szCs w:val="28"/>
        </w:rPr>
        <w:t>8.无不良征信承诺书（提供承诺书，格式见附件7）</w:t>
      </w:r>
    </w:p>
    <w:p w14:paraId="7CABBD51">
      <w:pPr>
        <w:spacing w:line="540" w:lineRule="exact"/>
        <w:ind w:firstLine="560" w:firstLineChars="200"/>
        <w:rPr>
          <w:rFonts w:ascii="仿宋_GB2312" w:hAnsi="宋体" w:eastAsia="仿宋_GB2312" w:cs="仿宋_GB2312"/>
          <w:color w:val="000000"/>
          <w:kern w:val="0"/>
          <w:sz w:val="28"/>
          <w:szCs w:val="28"/>
          <w:lang w:bidi="ar"/>
        </w:rPr>
      </w:pPr>
      <w:r>
        <w:rPr>
          <w:rFonts w:hint="eastAsia" w:ascii="仿宋_GB2312" w:eastAsia="仿宋_GB2312"/>
          <w:sz w:val="28"/>
          <w:szCs w:val="28"/>
        </w:rPr>
        <w:t>9.其他材料</w:t>
      </w:r>
    </w:p>
    <w:p w14:paraId="638ABA92">
      <w:pPr>
        <w:widowControl/>
        <w:spacing w:line="540" w:lineRule="exact"/>
        <w:ind w:firstLine="562" w:firstLineChars="200"/>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5C244D7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77BD245F">
      <w:pPr>
        <w:widowControl/>
        <w:spacing w:line="540" w:lineRule="exact"/>
        <w:ind w:firstLine="562" w:firstLineChars="200"/>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2E2955A9">
      <w:pPr>
        <w:widowControl/>
        <w:spacing w:line="540" w:lineRule="exact"/>
        <w:ind w:firstLine="560" w:firstLineChars="200"/>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02C805B2">
      <w:pPr>
        <w:widowControl/>
        <w:spacing w:line="540" w:lineRule="exact"/>
        <w:ind w:firstLine="560" w:firstLineChars="200"/>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4E8F3436">
      <w:pPr>
        <w:pStyle w:val="22"/>
        <w:tabs>
          <w:tab w:val="left" w:pos="293"/>
        </w:tabs>
        <w:spacing w:line="540" w:lineRule="exact"/>
        <w:ind w:firstLine="560" w:firstLineChars="200"/>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66D2DE73">
      <w:pPr>
        <w:widowControl/>
        <w:spacing w:line="540" w:lineRule="exact"/>
        <w:ind w:firstLine="562" w:firstLineChars="200"/>
        <w:jc w:val="left"/>
      </w:pPr>
      <w:r>
        <w:rPr>
          <w:rFonts w:hint="eastAsia" w:ascii="仿宋_GB2312" w:hAnsi="宋体" w:eastAsia="仿宋_GB2312" w:cs="仿宋_GB2312"/>
          <w:b/>
          <w:bCs/>
          <w:color w:val="000000"/>
          <w:kern w:val="0"/>
          <w:sz w:val="28"/>
          <w:szCs w:val="28"/>
          <w:lang w:bidi="ar"/>
        </w:rPr>
        <w:t>（二）采购需求（自行编写）</w:t>
      </w:r>
    </w:p>
    <w:p w14:paraId="42ACC2A9">
      <w:pPr>
        <w:widowControl/>
        <w:spacing w:line="540" w:lineRule="exact"/>
        <w:ind w:firstLine="562"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b/>
          <w:bCs/>
          <w:kern w:val="0"/>
          <w:sz w:val="28"/>
          <w:szCs w:val="28"/>
          <w:lang w:bidi="ar"/>
        </w:rPr>
        <w:t>1. 工期/供货期：</w:t>
      </w:r>
      <w:r>
        <w:rPr>
          <w:rFonts w:hint="eastAsia" w:ascii="仿宋_GB2312" w:hAnsi="宋体" w:eastAsia="仿宋_GB2312" w:cs="仿宋_GB2312"/>
          <w:kern w:val="0"/>
          <w:sz w:val="28"/>
          <w:szCs w:val="28"/>
          <w:lang w:bidi="ar"/>
        </w:rPr>
        <w:t>合同签订生效后一年。服务期内每季度考核高于 90 分，且无重大违约行为，经双方协商一致可续签一年，最多续签一次。</w:t>
      </w:r>
    </w:p>
    <w:p w14:paraId="78B4A1E9">
      <w:pPr>
        <w:widowControl/>
        <w:spacing w:line="540" w:lineRule="exact"/>
        <w:ind w:firstLine="562"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b/>
          <w:bCs/>
          <w:kern w:val="0"/>
          <w:sz w:val="28"/>
          <w:szCs w:val="28"/>
          <w:lang w:bidi="ar"/>
        </w:rPr>
        <w:t>2. 维保对象清单：</w:t>
      </w:r>
      <w:r>
        <w:rPr>
          <w:rFonts w:hint="eastAsia" w:ascii="仿宋_GB2312" w:hAnsi="宋体" w:eastAsia="仿宋_GB2312" w:cs="仿宋_GB2312"/>
          <w:kern w:val="0"/>
          <w:sz w:val="28"/>
          <w:szCs w:val="28"/>
          <w:lang w:bidi="ar"/>
        </w:rPr>
        <w:t>停车库类型为垂直升降梳齿式塔库，停车位数量为 140 个（分布于地上 11 层）。</w:t>
      </w:r>
    </w:p>
    <w:p w14:paraId="44B463A7">
      <w:pPr>
        <w:widowControl/>
        <w:spacing w:line="240" w:lineRule="atLeast"/>
        <w:ind w:firstLine="562" w:firstLineChars="200"/>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3. 维保范围明细表（包括但不限于以下内容）：</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15" w:type="dxa"/>
          <w:left w:w="15" w:type="dxa"/>
          <w:bottom w:w="15" w:type="dxa"/>
          <w:right w:w="15" w:type="dxa"/>
        </w:tblCellMar>
      </w:tblPr>
      <w:tblGrid>
        <w:gridCol w:w="793"/>
        <w:gridCol w:w="1438"/>
        <w:gridCol w:w="1762"/>
        <w:gridCol w:w="4703"/>
      </w:tblGrid>
      <w:tr w14:paraId="5363A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575FC8D2">
            <w:pPr>
              <w:widowControl/>
              <w:jc w:val="left"/>
              <w:rPr>
                <w:rFonts w:ascii="仿宋_GB2312" w:hAnsi="宋体" w:eastAsia="仿宋_GB2312" w:cs="仿宋_GB2312"/>
                <w:b/>
                <w:bCs/>
                <w:kern w:val="0"/>
                <w:sz w:val="24"/>
                <w:lang w:bidi="ar"/>
              </w:rPr>
            </w:pPr>
            <w:r>
              <w:rPr>
                <w:rFonts w:hint="eastAsia" w:ascii="仿宋_GB2312" w:hAnsi="宋体" w:eastAsia="仿宋_GB2312" w:cs="仿宋_GB2312"/>
                <w:b/>
                <w:bCs/>
                <w:kern w:val="0"/>
                <w:sz w:val="24"/>
                <w:lang w:bidi="ar"/>
              </w:rPr>
              <w:t>序号</w:t>
            </w:r>
          </w:p>
        </w:tc>
        <w:tc>
          <w:tcPr>
            <w:tcW w:w="0" w:type="auto"/>
            <w:shd w:val="clear" w:color="auto" w:fill="FFFFFF"/>
            <w:tcMar>
              <w:top w:w="90" w:type="dxa"/>
              <w:left w:w="195" w:type="dxa"/>
              <w:bottom w:w="90" w:type="dxa"/>
              <w:right w:w="195" w:type="dxa"/>
            </w:tcMar>
            <w:vAlign w:val="center"/>
          </w:tcPr>
          <w:p w14:paraId="10A80140">
            <w:pPr>
              <w:widowControl/>
              <w:jc w:val="left"/>
              <w:rPr>
                <w:rFonts w:ascii="仿宋_GB2312" w:hAnsi="宋体" w:eastAsia="仿宋_GB2312" w:cs="仿宋_GB2312"/>
                <w:b/>
                <w:bCs/>
                <w:kern w:val="0"/>
                <w:sz w:val="24"/>
                <w:lang w:bidi="ar"/>
              </w:rPr>
            </w:pPr>
            <w:r>
              <w:rPr>
                <w:rFonts w:hint="eastAsia" w:ascii="仿宋_GB2312" w:hAnsi="宋体" w:eastAsia="仿宋_GB2312" w:cs="仿宋_GB2312"/>
                <w:b/>
                <w:bCs/>
                <w:kern w:val="0"/>
                <w:sz w:val="24"/>
                <w:lang w:bidi="ar"/>
              </w:rPr>
              <w:t>系统类别</w:t>
            </w:r>
          </w:p>
        </w:tc>
        <w:tc>
          <w:tcPr>
            <w:tcW w:w="0" w:type="auto"/>
            <w:shd w:val="clear" w:color="auto" w:fill="FFFFFF"/>
            <w:tcMar>
              <w:top w:w="90" w:type="dxa"/>
              <w:left w:w="195" w:type="dxa"/>
              <w:bottom w:w="90" w:type="dxa"/>
              <w:right w:w="195" w:type="dxa"/>
            </w:tcMar>
            <w:vAlign w:val="center"/>
          </w:tcPr>
          <w:p w14:paraId="1844A960">
            <w:pPr>
              <w:widowControl/>
              <w:jc w:val="left"/>
              <w:rPr>
                <w:rFonts w:ascii="仿宋_GB2312" w:hAnsi="宋体" w:eastAsia="仿宋_GB2312" w:cs="仿宋_GB2312"/>
                <w:b/>
                <w:bCs/>
                <w:kern w:val="0"/>
                <w:sz w:val="24"/>
                <w:lang w:bidi="ar"/>
              </w:rPr>
            </w:pPr>
            <w:r>
              <w:rPr>
                <w:rFonts w:hint="eastAsia" w:ascii="仿宋_GB2312" w:hAnsi="宋体" w:eastAsia="仿宋_GB2312" w:cs="仿宋_GB2312"/>
                <w:b/>
                <w:bCs/>
                <w:kern w:val="0"/>
                <w:sz w:val="24"/>
                <w:lang w:bidi="ar"/>
              </w:rPr>
              <w:t>维保子系统</w:t>
            </w:r>
          </w:p>
        </w:tc>
        <w:tc>
          <w:tcPr>
            <w:tcW w:w="0" w:type="auto"/>
            <w:shd w:val="clear" w:color="auto" w:fill="FFFFFF"/>
            <w:tcMar>
              <w:top w:w="90" w:type="dxa"/>
              <w:left w:w="195" w:type="dxa"/>
              <w:bottom w:w="90" w:type="dxa"/>
              <w:right w:w="195" w:type="dxa"/>
            </w:tcMar>
            <w:vAlign w:val="center"/>
          </w:tcPr>
          <w:p w14:paraId="1D229966">
            <w:pPr>
              <w:widowControl/>
              <w:jc w:val="left"/>
              <w:rPr>
                <w:rFonts w:ascii="仿宋_GB2312" w:hAnsi="宋体" w:eastAsia="仿宋_GB2312" w:cs="仿宋_GB2312"/>
                <w:b/>
                <w:bCs/>
                <w:kern w:val="0"/>
                <w:sz w:val="24"/>
                <w:lang w:bidi="ar"/>
              </w:rPr>
            </w:pPr>
            <w:r>
              <w:rPr>
                <w:rFonts w:hint="eastAsia" w:ascii="仿宋_GB2312" w:hAnsi="宋体" w:eastAsia="仿宋_GB2312" w:cs="仿宋_GB2312"/>
                <w:b/>
                <w:bCs/>
                <w:kern w:val="0"/>
                <w:sz w:val="24"/>
                <w:lang w:bidi="ar"/>
              </w:rPr>
              <w:t>维保内容明细</w:t>
            </w:r>
          </w:p>
        </w:tc>
      </w:tr>
      <w:tr w14:paraId="21AD3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316AB6B2">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w:t>
            </w:r>
          </w:p>
        </w:tc>
        <w:tc>
          <w:tcPr>
            <w:tcW w:w="0" w:type="auto"/>
            <w:vMerge w:val="restart"/>
            <w:shd w:val="clear" w:color="auto" w:fill="FFFFFF"/>
            <w:tcMar>
              <w:top w:w="90" w:type="dxa"/>
              <w:left w:w="195" w:type="dxa"/>
              <w:bottom w:w="90" w:type="dxa"/>
              <w:right w:w="195" w:type="dxa"/>
            </w:tcMar>
            <w:vAlign w:val="center"/>
          </w:tcPr>
          <w:p w14:paraId="65EF95AA">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结构系统</w:t>
            </w:r>
          </w:p>
        </w:tc>
        <w:tc>
          <w:tcPr>
            <w:tcW w:w="0" w:type="auto"/>
            <w:shd w:val="clear" w:color="auto" w:fill="FFFFFF"/>
            <w:tcMar>
              <w:top w:w="90" w:type="dxa"/>
              <w:left w:w="195" w:type="dxa"/>
              <w:bottom w:w="90" w:type="dxa"/>
              <w:right w:w="195" w:type="dxa"/>
            </w:tcMar>
            <w:vAlign w:val="center"/>
          </w:tcPr>
          <w:p w14:paraId="334D9425">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主体钢结构</w:t>
            </w:r>
          </w:p>
        </w:tc>
        <w:tc>
          <w:tcPr>
            <w:tcW w:w="0" w:type="auto"/>
            <w:shd w:val="clear" w:color="auto" w:fill="FFFFFF"/>
            <w:tcMar>
              <w:top w:w="90" w:type="dxa"/>
              <w:left w:w="195" w:type="dxa"/>
              <w:bottom w:w="90" w:type="dxa"/>
              <w:right w:w="195" w:type="dxa"/>
            </w:tcMar>
            <w:vAlign w:val="center"/>
          </w:tcPr>
          <w:p w14:paraId="42390CCF">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钢结构框架、立柱、横梁、连接件（螺栓、焊缝等）</w:t>
            </w:r>
          </w:p>
        </w:tc>
      </w:tr>
      <w:tr w14:paraId="348D5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0C62EFF5">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2</w:t>
            </w:r>
          </w:p>
        </w:tc>
        <w:tc>
          <w:tcPr>
            <w:tcW w:w="0" w:type="auto"/>
            <w:vMerge w:val="continue"/>
            <w:shd w:val="clear" w:color="auto" w:fill="FFFFFF"/>
            <w:tcMar>
              <w:top w:w="90" w:type="dxa"/>
              <w:left w:w="195" w:type="dxa"/>
              <w:bottom w:w="90" w:type="dxa"/>
              <w:right w:w="195" w:type="dxa"/>
            </w:tcMar>
            <w:vAlign w:val="center"/>
          </w:tcPr>
          <w:p w14:paraId="4A9C3CF4">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66DB4A42">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载车装置</w:t>
            </w:r>
          </w:p>
        </w:tc>
        <w:tc>
          <w:tcPr>
            <w:tcW w:w="0" w:type="auto"/>
            <w:shd w:val="clear" w:color="auto" w:fill="FFFFFF"/>
            <w:tcMar>
              <w:top w:w="90" w:type="dxa"/>
              <w:left w:w="195" w:type="dxa"/>
              <w:bottom w:w="90" w:type="dxa"/>
              <w:right w:w="195" w:type="dxa"/>
            </w:tcMar>
            <w:vAlign w:val="center"/>
          </w:tcPr>
          <w:p w14:paraId="05BCBC38">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载车板、防滑条、车辆定位止挡器</w:t>
            </w:r>
          </w:p>
        </w:tc>
      </w:tr>
      <w:tr w14:paraId="4865E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2D191989">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3</w:t>
            </w:r>
          </w:p>
        </w:tc>
        <w:tc>
          <w:tcPr>
            <w:tcW w:w="0" w:type="auto"/>
            <w:vMerge w:val="continue"/>
            <w:shd w:val="clear" w:color="auto" w:fill="FFFFFF"/>
            <w:tcMar>
              <w:top w:w="90" w:type="dxa"/>
              <w:left w:w="195" w:type="dxa"/>
              <w:bottom w:w="90" w:type="dxa"/>
              <w:right w:w="195" w:type="dxa"/>
            </w:tcMar>
            <w:vAlign w:val="center"/>
          </w:tcPr>
          <w:p w14:paraId="36F55F88">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7E5EB82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导向与支撑结构</w:t>
            </w:r>
          </w:p>
        </w:tc>
        <w:tc>
          <w:tcPr>
            <w:tcW w:w="0" w:type="auto"/>
            <w:shd w:val="clear" w:color="auto" w:fill="FFFFFF"/>
            <w:tcMar>
              <w:top w:w="90" w:type="dxa"/>
              <w:left w:w="195" w:type="dxa"/>
              <w:bottom w:w="90" w:type="dxa"/>
              <w:right w:w="195" w:type="dxa"/>
            </w:tcMar>
            <w:vAlign w:val="center"/>
          </w:tcPr>
          <w:p w14:paraId="12CC7309">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升降导轨、导向轮、支撑结构</w:t>
            </w:r>
          </w:p>
        </w:tc>
      </w:tr>
      <w:tr w14:paraId="335BC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0972AA48">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4</w:t>
            </w:r>
          </w:p>
        </w:tc>
        <w:tc>
          <w:tcPr>
            <w:tcW w:w="0" w:type="auto"/>
            <w:vMerge w:val="continue"/>
            <w:shd w:val="clear" w:color="auto" w:fill="FFFFFF"/>
            <w:tcMar>
              <w:top w:w="90" w:type="dxa"/>
              <w:left w:w="195" w:type="dxa"/>
              <w:bottom w:w="90" w:type="dxa"/>
              <w:right w:w="195" w:type="dxa"/>
            </w:tcMar>
            <w:vAlign w:val="center"/>
          </w:tcPr>
          <w:p w14:paraId="0EFB3E23">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578B7E1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配重系统</w:t>
            </w:r>
          </w:p>
        </w:tc>
        <w:tc>
          <w:tcPr>
            <w:tcW w:w="0" w:type="auto"/>
            <w:shd w:val="clear" w:color="auto" w:fill="FFFFFF"/>
            <w:tcMar>
              <w:top w:w="90" w:type="dxa"/>
              <w:left w:w="195" w:type="dxa"/>
              <w:bottom w:w="90" w:type="dxa"/>
              <w:right w:w="195" w:type="dxa"/>
            </w:tcMar>
            <w:vAlign w:val="center"/>
          </w:tcPr>
          <w:p w14:paraId="1D71D742">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配重块、配重架、配重导轨及导向轮</w:t>
            </w:r>
          </w:p>
        </w:tc>
      </w:tr>
      <w:tr w14:paraId="2DD16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62BC9C93">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5</w:t>
            </w:r>
          </w:p>
        </w:tc>
        <w:tc>
          <w:tcPr>
            <w:tcW w:w="0" w:type="auto"/>
            <w:vMerge w:val="continue"/>
            <w:shd w:val="clear" w:color="auto" w:fill="FFFFFF"/>
            <w:tcMar>
              <w:top w:w="90" w:type="dxa"/>
              <w:left w:w="195" w:type="dxa"/>
              <w:bottom w:w="90" w:type="dxa"/>
              <w:right w:w="195" w:type="dxa"/>
            </w:tcMar>
            <w:vAlign w:val="center"/>
          </w:tcPr>
          <w:p w14:paraId="78CF9BD9">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4F9ADBFA">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设备连接基础</w:t>
            </w:r>
          </w:p>
        </w:tc>
        <w:tc>
          <w:tcPr>
            <w:tcW w:w="0" w:type="auto"/>
            <w:shd w:val="clear" w:color="auto" w:fill="FFFFFF"/>
            <w:tcMar>
              <w:top w:w="90" w:type="dxa"/>
              <w:left w:w="195" w:type="dxa"/>
              <w:bottom w:w="90" w:type="dxa"/>
              <w:right w:w="195" w:type="dxa"/>
            </w:tcMar>
            <w:vAlign w:val="center"/>
          </w:tcPr>
          <w:p w14:paraId="02F5E150">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地脚螺栓、预埋件（厂家设计部分）</w:t>
            </w:r>
          </w:p>
        </w:tc>
      </w:tr>
      <w:tr w14:paraId="22A8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55250729">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6</w:t>
            </w:r>
          </w:p>
        </w:tc>
        <w:tc>
          <w:tcPr>
            <w:tcW w:w="0" w:type="auto"/>
            <w:vMerge w:val="restart"/>
            <w:shd w:val="clear" w:color="auto" w:fill="FFFFFF"/>
            <w:tcMar>
              <w:top w:w="90" w:type="dxa"/>
              <w:left w:w="195" w:type="dxa"/>
              <w:bottom w:w="90" w:type="dxa"/>
              <w:right w:w="195" w:type="dxa"/>
            </w:tcMar>
            <w:vAlign w:val="center"/>
          </w:tcPr>
          <w:p w14:paraId="08909D5E">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传动系统</w:t>
            </w:r>
          </w:p>
        </w:tc>
        <w:tc>
          <w:tcPr>
            <w:tcW w:w="0" w:type="auto"/>
            <w:shd w:val="clear" w:color="auto" w:fill="FFFFFF"/>
            <w:tcMar>
              <w:top w:w="90" w:type="dxa"/>
              <w:left w:w="195" w:type="dxa"/>
              <w:bottom w:w="90" w:type="dxa"/>
              <w:right w:w="195" w:type="dxa"/>
            </w:tcMar>
            <w:vAlign w:val="center"/>
          </w:tcPr>
          <w:p w14:paraId="2EF1E116">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提升机构</w:t>
            </w:r>
          </w:p>
        </w:tc>
        <w:tc>
          <w:tcPr>
            <w:tcW w:w="0" w:type="auto"/>
            <w:shd w:val="clear" w:color="auto" w:fill="FFFFFF"/>
            <w:tcMar>
              <w:top w:w="90" w:type="dxa"/>
              <w:left w:w="195" w:type="dxa"/>
              <w:bottom w:w="90" w:type="dxa"/>
              <w:right w:w="195" w:type="dxa"/>
            </w:tcMar>
            <w:vAlign w:val="center"/>
          </w:tcPr>
          <w:p w14:paraId="1054DCD7">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提升机、减速机、升降驱动电机</w:t>
            </w:r>
          </w:p>
        </w:tc>
      </w:tr>
      <w:tr w14:paraId="5A973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43DBCFD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7</w:t>
            </w:r>
          </w:p>
        </w:tc>
        <w:tc>
          <w:tcPr>
            <w:tcW w:w="0" w:type="auto"/>
            <w:vMerge w:val="continue"/>
            <w:shd w:val="clear" w:color="auto" w:fill="FFFFFF"/>
            <w:tcMar>
              <w:top w:w="90" w:type="dxa"/>
              <w:left w:w="195" w:type="dxa"/>
              <w:bottom w:w="90" w:type="dxa"/>
              <w:right w:w="195" w:type="dxa"/>
            </w:tcMar>
            <w:vAlign w:val="center"/>
          </w:tcPr>
          <w:p w14:paraId="62C2018A">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47C1E413">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升降传动部件</w:t>
            </w:r>
          </w:p>
        </w:tc>
        <w:tc>
          <w:tcPr>
            <w:tcW w:w="0" w:type="auto"/>
            <w:shd w:val="clear" w:color="auto" w:fill="FFFFFF"/>
            <w:tcMar>
              <w:top w:w="90" w:type="dxa"/>
              <w:left w:w="195" w:type="dxa"/>
              <w:bottom w:w="90" w:type="dxa"/>
              <w:right w:w="195" w:type="dxa"/>
            </w:tcMar>
            <w:vAlign w:val="center"/>
          </w:tcPr>
          <w:p w14:paraId="745777AE">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钢丝绳（或链条）、卷筒、链轮、滑轮组</w:t>
            </w:r>
          </w:p>
        </w:tc>
      </w:tr>
      <w:tr w14:paraId="71E58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75807A1A">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8</w:t>
            </w:r>
          </w:p>
        </w:tc>
        <w:tc>
          <w:tcPr>
            <w:tcW w:w="0" w:type="auto"/>
            <w:vMerge w:val="continue"/>
            <w:shd w:val="clear" w:color="auto" w:fill="FFFFFF"/>
            <w:tcMar>
              <w:top w:w="90" w:type="dxa"/>
              <w:left w:w="195" w:type="dxa"/>
              <w:bottom w:w="90" w:type="dxa"/>
              <w:right w:w="195" w:type="dxa"/>
            </w:tcMar>
            <w:vAlign w:val="center"/>
          </w:tcPr>
          <w:p w14:paraId="5CD9346D">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13BD128A">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梳齿交换机构</w:t>
            </w:r>
          </w:p>
        </w:tc>
        <w:tc>
          <w:tcPr>
            <w:tcW w:w="0" w:type="auto"/>
            <w:shd w:val="clear" w:color="auto" w:fill="FFFFFF"/>
            <w:tcMar>
              <w:top w:w="90" w:type="dxa"/>
              <w:left w:w="195" w:type="dxa"/>
              <w:bottom w:w="90" w:type="dxa"/>
              <w:right w:w="195" w:type="dxa"/>
            </w:tcMar>
            <w:vAlign w:val="center"/>
          </w:tcPr>
          <w:p w14:paraId="577D02E9">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横移电机、升降电机、传动轴、齿轮、联轴器、梳齿板</w:t>
            </w:r>
          </w:p>
        </w:tc>
      </w:tr>
      <w:tr w14:paraId="74B63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0DCA5A5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9</w:t>
            </w:r>
          </w:p>
        </w:tc>
        <w:tc>
          <w:tcPr>
            <w:tcW w:w="0" w:type="auto"/>
            <w:vMerge w:val="continue"/>
            <w:shd w:val="clear" w:color="auto" w:fill="FFFFFF"/>
            <w:tcMar>
              <w:top w:w="90" w:type="dxa"/>
              <w:left w:w="195" w:type="dxa"/>
              <w:bottom w:w="90" w:type="dxa"/>
              <w:right w:w="195" w:type="dxa"/>
            </w:tcMar>
            <w:vAlign w:val="center"/>
          </w:tcPr>
          <w:p w14:paraId="26F924B6">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3F0210D1">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润滑系统</w:t>
            </w:r>
          </w:p>
        </w:tc>
        <w:tc>
          <w:tcPr>
            <w:tcW w:w="0" w:type="auto"/>
            <w:shd w:val="clear" w:color="auto" w:fill="FFFFFF"/>
            <w:tcMar>
              <w:top w:w="90" w:type="dxa"/>
              <w:left w:w="195" w:type="dxa"/>
              <w:bottom w:w="90" w:type="dxa"/>
              <w:right w:w="195" w:type="dxa"/>
            </w:tcMar>
            <w:vAlign w:val="center"/>
          </w:tcPr>
          <w:p w14:paraId="4D4BEC54">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自动/手动润滑泵、油管、分配器、润滑点</w:t>
            </w:r>
          </w:p>
        </w:tc>
      </w:tr>
      <w:tr w14:paraId="6A3B8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0DEFB84B">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10</w:t>
            </w:r>
          </w:p>
        </w:tc>
        <w:tc>
          <w:tcPr>
            <w:tcW w:w="0" w:type="auto"/>
            <w:vMerge w:val="restart"/>
            <w:shd w:val="clear" w:color="auto" w:fill="FFFFFF"/>
            <w:tcMar>
              <w:top w:w="90" w:type="dxa"/>
              <w:left w:w="195" w:type="dxa"/>
              <w:bottom w:w="90" w:type="dxa"/>
              <w:right w:w="195" w:type="dxa"/>
            </w:tcMar>
            <w:vAlign w:val="center"/>
          </w:tcPr>
          <w:p w14:paraId="407DBCB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电气控制系统</w:t>
            </w:r>
          </w:p>
        </w:tc>
        <w:tc>
          <w:tcPr>
            <w:tcW w:w="0" w:type="auto"/>
            <w:shd w:val="clear" w:color="auto" w:fill="FFFFFF"/>
            <w:tcMar>
              <w:top w:w="90" w:type="dxa"/>
              <w:left w:w="195" w:type="dxa"/>
              <w:bottom w:w="90" w:type="dxa"/>
              <w:right w:w="195" w:type="dxa"/>
            </w:tcMar>
            <w:vAlign w:val="center"/>
          </w:tcPr>
          <w:p w14:paraId="32BE4792">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主控系统</w:t>
            </w:r>
          </w:p>
        </w:tc>
        <w:tc>
          <w:tcPr>
            <w:tcW w:w="0" w:type="auto"/>
            <w:shd w:val="clear" w:color="auto" w:fill="FFFFFF"/>
            <w:tcMar>
              <w:top w:w="90" w:type="dxa"/>
              <w:left w:w="195" w:type="dxa"/>
              <w:bottom w:w="90" w:type="dxa"/>
              <w:right w:w="195" w:type="dxa"/>
            </w:tcMar>
            <w:vAlign w:val="center"/>
          </w:tcPr>
          <w:p w14:paraId="48CC8C9F">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PLC控制柜、人机界面（HMI）、控制电源</w:t>
            </w:r>
          </w:p>
        </w:tc>
      </w:tr>
      <w:tr w14:paraId="13C37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09E101B3">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11</w:t>
            </w:r>
          </w:p>
        </w:tc>
        <w:tc>
          <w:tcPr>
            <w:tcW w:w="0" w:type="auto"/>
            <w:vMerge w:val="continue"/>
            <w:shd w:val="clear" w:color="auto" w:fill="FFFFFF"/>
            <w:tcMar>
              <w:top w:w="90" w:type="dxa"/>
              <w:left w:w="195" w:type="dxa"/>
              <w:bottom w:w="90" w:type="dxa"/>
              <w:right w:w="195" w:type="dxa"/>
            </w:tcMar>
            <w:vAlign w:val="center"/>
          </w:tcPr>
          <w:p w14:paraId="180AD33F">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7256D999">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驱动系统</w:t>
            </w:r>
          </w:p>
        </w:tc>
        <w:tc>
          <w:tcPr>
            <w:tcW w:w="0" w:type="auto"/>
            <w:shd w:val="clear" w:color="auto" w:fill="FFFFFF"/>
            <w:tcMar>
              <w:top w:w="90" w:type="dxa"/>
              <w:left w:w="195" w:type="dxa"/>
              <w:bottom w:w="90" w:type="dxa"/>
              <w:right w:w="195" w:type="dxa"/>
            </w:tcMar>
            <w:vAlign w:val="center"/>
          </w:tcPr>
          <w:p w14:paraId="08E6A7E4">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变频器、电机驱动回路、接触器、继电器</w:t>
            </w:r>
          </w:p>
        </w:tc>
      </w:tr>
      <w:tr w14:paraId="4CF2E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4D0A62F1">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12</w:t>
            </w:r>
          </w:p>
        </w:tc>
        <w:tc>
          <w:tcPr>
            <w:tcW w:w="0" w:type="auto"/>
            <w:vMerge w:val="continue"/>
            <w:shd w:val="clear" w:color="auto" w:fill="FFFFFF"/>
            <w:tcMar>
              <w:top w:w="90" w:type="dxa"/>
              <w:left w:w="195" w:type="dxa"/>
              <w:bottom w:w="90" w:type="dxa"/>
              <w:right w:w="195" w:type="dxa"/>
            </w:tcMar>
            <w:vAlign w:val="center"/>
          </w:tcPr>
          <w:p w14:paraId="228298BC">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072A2E54">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传感器系统</w:t>
            </w:r>
          </w:p>
        </w:tc>
        <w:tc>
          <w:tcPr>
            <w:tcW w:w="0" w:type="auto"/>
            <w:shd w:val="clear" w:color="auto" w:fill="FFFFFF"/>
            <w:tcMar>
              <w:top w:w="90" w:type="dxa"/>
              <w:left w:w="195" w:type="dxa"/>
              <w:bottom w:w="90" w:type="dxa"/>
              <w:right w:w="195" w:type="dxa"/>
            </w:tcMar>
            <w:vAlign w:val="center"/>
          </w:tcPr>
          <w:p w14:paraId="784011A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位置传感器、限位开关、光电开关、重量传感器</w:t>
            </w:r>
          </w:p>
        </w:tc>
      </w:tr>
      <w:tr w14:paraId="556A3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1D7EAFA7">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13</w:t>
            </w:r>
          </w:p>
        </w:tc>
        <w:tc>
          <w:tcPr>
            <w:tcW w:w="0" w:type="auto"/>
            <w:vMerge w:val="continue"/>
            <w:shd w:val="clear" w:color="auto" w:fill="FFFFFF"/>
            <w:tcMar>
              <w:top w:w="90" w:type="dxa"/>
              <w:left w:w="195" w:type="dxa"/>
              <w:bottom w:w="90" w:type="dxa"/>
              <w:right w:w="195" w:type="dxa"/>
            </w:tcMar>
            <w:vAlign w:val="center"/>
          </w:tcPr>
          <w:p w14:paraId="20255B28">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5426DDEE">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操作系统</w:t>
            </w:r>
          </w:p>
        </w:tc>
        <w:tc>
          <w:tcPr>
            <w:tcW w:w="0" w:type="auto"/>
            <w:shd w:val="clear" w:color="auto" w:fill="FFFFFF"/>
            <w:tcMar>
              <w:top w:w="90" w:type="dxa"/>
              <w:left w:w="195" w:type="dxa"/>
              <w:bottom w:w="90" w:type="dxa"/>
              <w:right w:w="195" w:type="dxa"/>
            </w:tcMar>
            <w:vAlign w:val="center"/>
          </w:tcPr>
          <w:p w14:paraId="721CC97A">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出入口操作面板、急停按钮、原厂集成的刷卡/扫码模块</w:t>
            </w:r>
          </w:p>
        </w:tc>
      </w:tr>
      <w:tr w14:paraId="3DF13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676F7EFB">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14</w:t>
            </w:r>
          </w:p>
        </w:tc>
        <w:tc>
          <w:tcPr>
            <w:tcW w:w="0" w:type="auto"/>
            <w:vMerge w:val="continue"/>
            <w:shd w:val="clear" w:color="auto" w:fill="FFFFFF"/>
            <w:tcMar>
              <w:top w:w="90" w:type="dxa"/>
              <w:left w:w="195" w:type="dxa"/>
              <w:bottom w:w="90" w:type="dxa"/>
              <w:right w:w="195" w:type="dxa"/>
            </w:tcMar>
            <w:vAlign w:val="center"/>
          </w:tcPr>
          <w:p w14:paraId="3B674BA2">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04CD67A3">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局部照明</w:t>
            </w:r>
          </w:p>
        </w:tc>
        <w:tc>
          <w:tcPr>
            <w:tcW w:w="0" w:type="auto"/>
            <w:shd w:val="clear" w:color="auto" w:fill="FFFFFF"/>
            <w:tcMar>
              <w:top w:w="90" w:type="dxa"/>
              <w:left w:w="195" w:type="dxa"/>
              <w:bottom w:w="90" w:type="dxa"/>
              <w:right w:w="195" w:type="dxa"/>
            </w:tcMar>
            <w:vAlign w:val="center"/>
          </w:tcPr>
          <w:p w14:paraId="570D8D43">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设备本体上的检修灯、载车板照明（如有）</w:t>
            </w:r>
          </w:p>
        </w:tc>
      </w:tr>
      <w:tr w14:paraId="654E3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696E978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15</w:t>
            </w:r>
          </w:p>
        </w:tc>
        <w:tc>
          <w:tcPr>
            <w:tcW w:w="0" w:type="auto"/>
            <w:vMerge w:val="restart"/>
            <w:shd w:val="clear" w:color="auto" w:fill="FFFFFF"/>
            <w:tcMar>
              <w:top w:w="90" w:type="dxa"/>
              <w:left w:w="195" w:type="dxa"/>
              <w:bottom w:w="90" w:type="dxa"/>
              <w:right w:w="195" w:type="dxa"/>
            </w:tcMar>
            <w:vAlign w:val="center"/>
          </w:tcPr>
          <w:p w14:paraId="52B8D250">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安全保护系统</w:t>
            </w:r>
          </w:p>
        </w:tc>
        <w:tc>
          <w:tcPr>
            <w:tcW w:w="0" w:type="auto"/>
            <w:shd w:val="clear" w:color="auto" w:fill="FFFFFF"/>
            <w:tcMar>
              <w:top w:w="90" w:type="dxa"/>
              <w:left w:w="195" w:type="dxa"/>
              <w:bottom w:w="90" w:type="dxa"/>
              <w:right w:w="195" w:type="dxa"/>
            </w:tcMar>
            <w:vAlign w:val="center"/>
          </w:tcPr>
          <w:p w14:paraId="17693BF4">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防坠落装置</w:t>
            </w:r>
          </w:p>
        </w:tc>
        <w:tc>
          <w:tcPr>
            <w:tcW w:w="0" w:type="auto"/>
            <w:shd w:val="clear" w:color="auto" w:fill="FFFFFF"/>
            <w:tcMar>
              <w:top w:w="90" w:type="dxa"/>
              <w:left w:w="195" w:type="dxa"/>
              <w:bottom w:w="90" w:type="dxa"/>
              <w:right w:w="195" w:type="dxa"/>
            </w:tcMar>
            <w:vAlign w:val="center"/>
          </w:tcPr>
          <w:p w14:paraId="3B2DC0E7">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抱闸、安全钳、限速器（升降机构）</w:t>
            </w:r>
          </w:p>
        </w:tc>
      </w:tr>
      <w:tr w14:paraId="02520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05F17150">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16</w:t>
            </w:r>
          </w:p>
        </w:tc>
        <w:tc>
          <w:tcPr>
            <w:tcW w:w="0" w:type="auto"/>
            <w:vMerge w:val="continue"/>
            <w:shd w:val="clear" w:color="auto" w:fill="FFFFFF"/>
            <w:tcMar>
              <w:top w:w="90" w:type="dxa"/>
              <w:left w:w="195" w:type="dxa"/>
              <w:bottom w:w="90" w:type="dxa"/>
              <w:right w:w="195" w:type="dxa"/>
            </w:tcMar>
            <w:vAlign w:val="center"/>
          </w:tcPr>
          <w:p w14:paraId="1A94D07F">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5A0F6815">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紧急停止系统</w:t>
            </w:r>
          </w:p>
        </w:tc>
        <w:tc>
          <w:tcPr>
            <w:tcW w:w="0" w:type="auto"/>
            <w:shd w:val="clear" w:color="auto" w:fill="FFFFFF"/>
            <w:tcMar>
              <w:top w:w="90" w:type="dxa"/>
              <w:left w:w="195" w:type="dxa"/>
              <w:bottom w:w="90" w:type="dxa"/>
              <w:right w:w="195" w:type="dxa"/>
            </w:tcMar>
            <w:vAlign w:val="center"/>
          </w:tcPr>
          <w:p w14:paraId="1C18E691">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各层急停按钮、总急停回路（设备内部）</w:t>
            </w:r>
          </w:p>
        </w:tc>
      </w:tr>
      <w:tr w14:paraId="12BC7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1F3A6AB8">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17</w:t>
            </w:r>
          </w:p>
        </w:tc>
        <w:tc>
          <w:tcPr>
            <w:tcW w:w="0" w:type="auto"/>
            <w:vMerge w:val="continue"/>
            <w:shd w:val="clear" w:color="auto" w:fill="FFFFFF"/>
            <w:tcMar>
              <w:top w:w="90" w:type="dxa"/>
              <w:left w:w="195" w:type="dxa"/>
              <w:bottom w:w="90" w:type="dxa"/>
              <w:right w:w="195" w:type="dxa"/>
            </w:tcMar>
            <w:vAlign w:val="center"/>
          </w:tcPr>
          <w:p w14:paraId="1F1CE519">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328DA8CE">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人车误入检测装置</w:t>
            </w:r>
          </w:p>
        </w:tc>
        <w:tc>
          <w:tcPr>
            <w:tcW w:w="0" w:type="auto"/>
            <w:shd w:val="clear" w:color="auto" w:fill="FFFFFF"/>
            <w:tcMar>
              <w:top w:w="90" w:type="dxa"/>
              <w:left w:w="195" w:type="dxa"/>
              <w:bottom w:w="90" w:type="dxa"/>
              <w:right w:w="195" w:type="dxa"/>
            </w:tcMar>
            <w:vAlign w:val="center"/>
          </w:tcPr>
          <w:p w14:paraId="7F91AD91">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光幕、红外传感器、地磁（设备配套）</w:t>
            </w:r>
          </w:p>
        </w:tc>
      </w:tr>
      <w:tr w14:paraId="7071D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647413A9">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18</w:t>
            </w:r>
          </w:p>
        </w:tc>
        <w:tc>
          <w:tcPr>
            <w:tcW w:w="0" w:type="auto"/>
            <w:vMerge w:val="continue"/>
            <w:shd w:val="clear" w:color="auto" w:fill="FFFFFF"/>
            <w:tcMar>
              <w:top w:w="90" w:type="dxa"/>
              <w:left w:w="195" w:type="dxa"/>
              <w:bottom w:w="90" w:type="dxa"/>
              <w:right w:w="195" w:type="dxa"/>
            </w:tcMar>
            <w:vAlign w:val="center"/>
          </w:tcPr>
          <w:p w14:paraId="54232325">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630819BB">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车辆尺寸超限检测</w:t>
            </w:r>
          </w:p>
        </w:tc>
        <w:tc>
          <w:tcPr>
            <w:tcW w:w="0" w:type="auto"/>
            <w:shd w:val="clear" w:color="auto" w:fill="FFFFFF"/>
            <w:tcMar>
              <w:top w:w="90" w:type="dxa"/>
              <w:left w:w="195" w:type="dxa"/>
              <w:bottom w:w="90" w:type="dxa"/>
              <w:right w:w="195" w:type="dxa"/>
            </w:tcMar>
            <w:vAlign w:val="center"/>
          </w:tcPr>
          <w:p w14:paraId="48D00C3A">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超高、超长检测传感器</w:t>
            </w:r>
          </w:p>
        </w:tc>
      </w:tr>
      <w:tr w14:paraId="34D86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5AA3621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19</w:t>
            </w:r>
          </w:p>
        </w:tc>
        <w:tc>
          <w:tcPr>
            <w:tcW w:w="0" w:type="auto"/>
            <w:vMerge w:val="continue"/>
            <w:shd w:val="clear" w:color="auto" w:fill="FFFFFF"/>
            <w:tcMar>
              <w:top w:w="90" w:type="dxa"/>
              <w:left w:w="195" w:type="dxa"/>
              <w:bottom w:w="90" w:type="dxa"/>
              <w:right w:w="195" w:type="dxa"/>
            </w:tcMar>
            <w:vAlign w:val="center"/>
          </w:tcPr>
          <w:p w14:paraId="48F7C315">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6403E095">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门锁与联锁装置</w:t>
            </w:r>
          </w:p>
        </w:tc>
        <w:tc>
          <w:tcPr>
            <w:tcW w:w="0" w:type="auto"/>
            <w:shd w:val="clear" w:color="auto" w:fill="FFFFFF"/>
            <w:tcMar>
              <w:top w:w="90" w:type="dxa"/>
              <w:left w:w="195" w:type="dxa"/>
              <w:bottom w:w="90" w:type="dxa"/>
              <w:right w:w="195" w:type="dxa"/>
            </w:tcMar>
            <w:vAlign w:val="center"/>
          </w:tcPr>
          <w:p w14:paraId="03CB99D0">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出入口门、检修门安全联锁开关</w:t>
            </w:r>
          </w:p>
        </w:tc>
      </w:tr>
      <w:tr w14:paraId="2340D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6BF47751">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20</w:t>
            </w:r>
          </w:p>
        </w:tc>
        <w:tc>
          <w:tcPr>
            <w:tcW w:w="0" w:type="auto"/>
            <w:vMerge w:val="continue"/>
            <w:shd w:val="clear" w:color="auto" w:fill="FFFFFF"/>
            <w:tcMar>
              <w:top w:w="90" w:type="dxa"/>
              <w:left w:w="195" w:type="dxa"/>
              <w:bottom w:w="90" w:type="dxa"/>
              <w:right w:w="195" w:type="dxa"/>
            </w:tcMar>
            <w:vAlign w:val="center"/>
          </w:tcPr>
          <w:p w14:paraId="1C92417C">
            <w:pPr>
              <w:widowControl/>
              <w:jc w:val="left"/>
              <w:rPr>
                <w:rFonts w:ascii="仿宋_GB2312" w:hAnsi="宋体" w:eastAsia="仿宋_GB2312" w:cs="仿宋_GB2312"/>
                <w:kern w:val="0"/>
                <w:sz w:val="24"/>
                <w:lang w:bidi="ar"/>
              </w:rPr>
            </w:pPr>
          </w:p>
        </w:tc>
        <w:tc>
          <w:tcPr>
            <w:tcW w:w="0" w:type="auto"/>
            <w:shd w:val="clear" w:color="auto" w:fill="FFFFFF"/>
            <w:tcMar>
              <w:top w:w="90" w:type="dxa"/>
              <w:left w:w="195" w:type="dxa"/>
              <w:bottom w:w="90" w:type="dxa"/>
              <w:right w:w="195" w:type="dxa"/>
            </w:tcMar>
            <w:vAlign w:val="center"/>
          </w:tcPr>
          <w:p w14:paraId="31E6EA9E">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安全警示装置</w:t>
            </w:r>
          </w:p>
        </w:tc>
        <w:tc>
          <w:tcPr>
            <w:tcW w:w="0" w:type="auto"/>
            <w:shd w:val="clear" w:color="auto" w:fill="FFFFFF"/>
            <w:tcMar>
              <w:top w:w="90" w:type="dxa"/>
              <w:left w:w="195" w:type="dxa"/>
              <w:bottom w:w="90" w:type="dxa"/>
              <w:right w:w="195" w:type="dxa"/>
            </w:tcMar>
            <w:vAlign w:val="center"/>
          </w:tcPr>
          <w:p w14:paraId="02C38E90">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声光报警器、设备本体警示标识</w:t>
            </w:r>
          </w:p>
        </w:tc>
      </w:tr>
    </w:tbl>
    <w:p w14:paraId="08B7B503">
      <w:pPr>
        <w:widowControl/>
        <w:spacing w:line="540" w:lineRule="exact"/>
        <w:ind w:firstLine="562"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b/>
          <w:bCs/>
          <w:kern w:val="0"/>
          <w:sz w:val="28"/>
          <w:szCs w:val="28"/>
          <w:lang w:bidi="ar"/>
        </w:rPr>
        <w:t>4. 服务内容与频率：</w:t>
      </w:r>
      <w:r>
        <w:rPr>
          <w:rFonts w:hint="eastAsia" w:ascii="仿宋_GB2312" w:hAnsi="宋体" w:eastAsia="仿宋_GB2312" w:cs="仿宋_GB2312"/>
          <w:kern w:val="0"/>
          <w:sz w:val="28"/>
          <w:szCs w:val="28"/>
          <w:lang w:bidi="ar"/>
        </w:rPr>
        <w:t>日常巡检每月不少于 2 次，检查设备运行状态、结构件、安全装置等；定期保养每季度一次，执行清洁、润滑、紧固、调整、功能测试。</w:t>
      </w:r>
    </w:p>
    <w:p w14:paraId="0AA7E732">
      <w:pPr>
        <w:widowControl/>
        <w:spacing w:line="540" w:lineRule="exact"/>
        <w:ind w:firstLine="562"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b/>
          <w:bCs/>
          <w:kern w:val="0"/>
          <w:sz w:val="28"/>
          <w:szCs w:val="28"/>
          <w:lang w:bidi="ar"/>
        </w:rPr>
        <w:t>5. 技术规范与标准：</w:t>
      </w:r>
      <w:r>
        <w:rPr>
          <w:rFonts w:hint="eastAsia" w:ascii="仿宋_GB2312" w:hAnsi="宋体" w:eastAsia="仿宋_GB2312" w:cs="仿宋_GB2312"/>
          <w:kern w:val="0"/>
          <w:sz w:val="28"/>
          <w:szCs w:val="28"/>
          <w:lang w:bidi="ar"/>
        </w:rPr>
        <w:t>严格遵循 JB/T 10215-2020《垂直循环类机械式停车设备》、GB/T 31052.11-2015《起重机械 检查与维护规程 第十一部分：机械式停车设备》、GB/T 17907-2010《机械式停车设备 通用安全要求》、TSG08-2017《特种设备使用管理规则》、GB 50017-2017《钢结构设计标准》、GB 50169-2016《电气装置安装工程接地装置施工及验收规范》等国家及行业标准。所有操作符合设备原厂技术手册要求，使用原厂或同等质量认证备件。</w:t>
      </w:r>
    </w:p>
    <w:p w14:paraId="665D17FE">
      <w:pPr>
        <w:widowControl/>
        <w:spacing w:line="540" w:lineRule="exact"/>
        <w:ind w:firstLine="562" w:firstLineChars="200"/>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6. 响应时效与人员要求：</w:t>
      </w:r>
    </w:p>
    <w:p w14:paraId="1C6E594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电话响应：7×24 小时热线，10 分钟内响应；</w:t>
      </w:r>
    </w:p>
    <w:p w14:paraId="5063786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现场到达：一般故障 ≤2 小时，严重故障（如车辆被困）≤1 小时；</w:t>
      </w:r>
    </w:p>
    <w:p w14:paraId="130F7E3C">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故障修复：一般故障 ≤4 小时，严重故障 ≤24 小时内恢复基本功能。</w:t>
      </w:r>
    </w:p>
    <w:p w14:paraId="546A83B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项目团队配置：项目负责人 1 名；维保工程师不少于 2 名（持有“特种设备作业人员证”）。</w:t>
      </w:r>
    </w:p>
    <w:p w14:paraId="154BB4A3">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人员管理：投标时提供人员名单、证书及简历。中标后关键人员不得擅自更换，更换须提前 10 日书面报批。招标人有权要求更换不称职人员。</w:t>
      </w:r>
    </w:p>
    <w:p w14:paraId="145D8AB0">
      <w:pPr>
        <w:widowControl/>
        <w:numPr>
          <w:ilvl w:val="0"/>
          <w:numId w:val="2"/>
        </w:numPr>
        <w:spacing w:line="540" w:lineRule="exact"/>
        <w:ind w:firstLine="562" w:firstLineChars="200"/>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服务交付与文档管理：</w:t>
      </w:r>
    </w:p>
    <w:p w14:paraId="639E41A0">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投标人须按以下要求提交报告，内容真实、完整、可追溯：</w:t>
      </w:r>
    </w:p>
    <w:p w14:paraId="49488019">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（1）月度维保记录：次月 5 日前，每月两次巡检情况；</w:t>
      </w:r>
    </w:p>
    <w:p w14:paraId="7D672B4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（2）季度维保服务报告：每季度末，巡检记录及保养内容、故障处理详情、月度考核打分表；</w:t>
      </w:r>
    </w:p>
    <w:p w14:paraId="79F427B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（3）年度维保服务报告：合同期满前 10 日，全年数据统计、年度完好率、重大故障总结、下一年度建议。</w:t>
      </w:r>
    </w:p>
    <w:p w14:paraId="26A4B176">
      <w:pPr>
        <w:widowControl/>
        <w:numPr>
          <w:ilvl w:val="0"/>
          <w:numId w:val="2"/>
        </w:numPr>
        <w:spacing w:line="540" w:lineRule="exact"/>
        <w:ind w:firstLine="562" w:firstLineChars="200"/>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验收与考核机制：</w:t>
      </w:r>
    </w:p>
    <w:p w14:paraId="1738B9D6">
      <w:pPr>
        <w:spacing w:line="360" w:lineRule="auto"/>
        <w:ind w:firstLine="560" w:firstLineChars="200"/>
        <w:rPr>
          <w:rFonts w:ascii="Times New Roman" w:hAnsi="Times New Roman" w:eastAsia="仿宋_GB2312" w:cs="Times New Roman"/>
          <w:color w:val="000000"/>
          <w:kern w:val="0"/>
          <w:sz w:val="28"/>
          <w:szCs w:val="28"/>
        </w:rPr>
      </w:pPr>
      <w:r>
        <w:rPr>
          <w:rFonts w:hint="eastAsia" w:ascii="Times New Roman" w:hAnsi="Times New Roman" w:eastAsia="仿宋_GB2312" w:cs="Times New Roman"/>
          <w:color w:val="000000"/>
          <w:kern w:val="0"/>
          <w:sz w:val="28"/>
          <w:szCs w:val="28"/>
        </w:rPr>
        <w:t>实行“季度考核 + 年度验收”制度。</w:t>
      </w:r>
    </w:p>
    <w:p w14:paraId="763E0288">
      <w:pPr>
        <w:spacing w:line="360" w:lineRule="auto"/>
        <w:ind w:firstLine="560" w:firstLineChars="200"/>
        <w:rPr>
          <w:rFonts w:ascii="Times New Roman" w:hAnsi="Times New Roman" w:eastAsia="仿宋_GB2312" w:cs="Times New Roman"/>
          <w:color w:val="000000"/>
          <w:kern w:val="0"/>
          <w:sz w:val="28"/>
          <w:szCs w:val="28"/>
        </w:rPr>
      </w:pPr>
      <w:r>
        <w:rPr>
          <w:rFonts w:hint="eastAsia" w:ascii="Times New Roman" w:hAnsi="Times New Roman" w:eastAsia="仿宋_GB2312" w:cs="Times New Roman"/>
          <w:color w:val="000000"/>
          <w:kern w:val="0"/>
          <w:sz w:val="28"/>
          <w:szCs w:val="28"/>
        </w:rPr>
        <w:t>季度考核：每季度末对维保服务进行综合评分。</w:t>
      </w:r>
    </w:p>
    <w:p w14:paraId="43F419A9">
      <w:pPr>
        <w:spacing w:line="360" w:lineRule="auto"/>
        <w:ind w:firstLine="560" w:firstLineChars="200"/>
        <w:rPr>
          <w:rFonts w:ascii="Times New Roman" w:hAnsi="Times New Roman" w:eastAsia="仿宋_GB2312" w:cs="Times New Roman"/>
          <w:color w:val="000000"/>
          <w:kern w:val="0"/>
          <w:sz w:val="28"/>
          <w:szCs w:val="28"/>
        </w:rPr>
      </w:pPr>
      <w:r>
        <w:rPr>
          <w:rFonts w:hint="eastAsia" w:ascii="Times New Roman" w:hAnsi="Times New Roman" w:eastAsia="仿宋_GB2312" w:cs="Times New Roman"/>
          <w:color w:val="000000"/>
          <w:kern w:val="0"/>
          <w:sz w:val="28"/>
          <w:szCs w:val="28"/>
        </w:rPr>
        <w:t>年度验收：服务期满前进行全年服务总评，结合季度考核结果确定是否续签。</w:t>
      </w:r>
    </w:p>
    <w:p w14:paraId="068944C9">
      <w:pPr>
        <w:spacing w:line="360" w:lineRule="auto"/>
        <w:ind w:firstLine="560" w:firstLineChars="200"/>
        <w:rPr>
          <w:rFonts w:ascii="方正仿宋_GB2312" w:hAnsi="方正仿宋_GB2312" w:eastAsia="方正仿宋_GB2312" w:cs="方正仿宋_GB2312"/>
          <w:color w:val="000000"/>
          <w:kern w:val="0"/>
          <w:sz w:val="28"/>
          <w:szCs w:val="28"/>
        </w:rPr>
      </w:pPr>
      <w:r>
        <w:rPr>
          <w:rFonts w:hint="eastAsia" w:ascii="方正仿宋_GB2312" w:hAnsi="方正仿宋_GB2312" w:eastAsia="方正仿宋_GB2312" w:cs="方正仿宋_GB2312"/>
          <w:color w:val="000000"/>
          <w:kern w:val="0"/>
          <w:sz w:val="28"/>
          <w:szCs w:val="28"/>
        </w:rPr>
        <w:t>考核评分标准（满分100分）</w:t>
      </w:r>
    </w:p>
    <w:tbl>
      <w:tblPr>
        <w:tblStyle w:val="15"/>
        <w:tblW w:w="4998" w:type="pct"/>
        <w:jc w:val="center"/>
        <w:shd w:val="clear" w:color="auto" w:fill="FFFFFF"/>
        <w:tblLayout w:type="autofit"/>
        <w:tblCellMar>
          <w:top w:w="0" w:type="dxa"/>
          <w:left w:w="0" w:type="dxa"/>
          <w:bottom w:w="0" w:type="dxa"/>
          <w:right w:w="0" w:type="dxa"/>
        </w:tblCellMar>
      </w:tblPr>
      <w:tblGrid>
        <w:gridCol w:w="1171"/>
        <w:gridCol w:w="1737"/>
        <w:gridCol w:w="1172"/>
        <w:gridCol w:w="4822"/>
      </w:tblGrid>
      <w:tr w14:paraId="156F3960">
        <w:tblPrEx>
          <w:shd w:val="clear" w:color="auto" w:fill="FFFFFF"/>
          <w:tblCellMar>
            <w:top w:w="0" w:type="dxa"/>
            <w:left w:w="0" w:type="dxa"/>
            <w:bottom w:w="0" w:type="dxa"/>
            <w:right w:w="0" w:type="dxa"/>
          </w:tblCellMar>
        </w:tblPrEx>
        <w:trPr>
          <w:cantSplit/>
          <w:trHeight w:val="23" w:hRule="atLeast"/>
          <w:jc w:val="center"/>
        </w:trPr>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5B208512">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序号</w:t>
            </w:r>
          </w:p>
        </w:tc>
        <w:tc>
          <w:tcPr>
            <w:tcW w:w="975"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099DEA45">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考核项目</w:t>
            </w:r>
          </w:p>
        </w:tc>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0A310DAB">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分值</w:t>
            </w:r>
          </w:p>
        </w:tc>
        <w:tc>
          <w:tcPr>
            <w:tcW w:w="2707"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16E6203B">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扣分标准</w:t>
            </w:r>
          </w:p>
        </w:tc>
      </w:tr>
      <w:tr w14:paraId="41431B87">
        <w:tblPrEx>
          <w:tblCellMar>
            <w:top w:w="0" w:type="dxa"/>
            <w:left w:w="0" w:type="dxa"/>
            <w:bottom w:w="0" w:type="dxa"/>
            <w:right w:w="0" w:type="dxa"/>
          </w:tblCellMar>
        </w:tblPrEx>
        <w:trPr>
          <w:cantSplit/>
          <w:trHeight w:val="23" w:hRule="atLeast"/>
          <w:jc w:val="center"/>
        </w:trPr>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66F8C55B">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1</w:t>
            </w:r>
          </w:p>
        </w:tc>
        <w:tc>
          <w:tcPr>
            <w:tcW w:w="975"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70B817B6">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维保响应</w:t>
            </w:r>
          </w:p>
        </w:tc>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61729148">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20</w:t>
            </w:r>
          </w:p>
        </w:tc>
        <w:tc>
          <w:tcPr>
            <w:tcW w:w="2707"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033C7437">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一般故障未按时到场：扣1分/次；严重故障未按时到场：扣2分/次</w:t>
            </w:r>
          </w:p>
        </w:tc>
      </w:tr>
      <w:tr w14:paraId="339E17FE">
        <w:tblPrEx>
          <w:shd w:val="clear" w:color="auto" w:fill="FFFFFF"/>
          <w:tblCellMar>
            <w:top w:w="0" w:type="dxa"/>
            <w:left w:w="0" w:type="dxa"/>
            <w:bottom w:w="0" w:type="dxa"/>
            <w:right w:w="0" w:type="dxa"/>
          </w:tblCellMar>
        </w:tblPrEx>
        <w:trPr>
          <w:cantSplit/>
          <w:trHeight w:val="23" w:hRule="atLeast"/>
          <w:jc w:val="center"/>
        </w:trPr>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4683D0B4">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2</w:t>
            </w:r>
          </w:p>
        </w:tc>
        <w:tc>
          <w:tcPr>
            <w:tcW w:w="975"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49EA5EE2">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计划执行</w:t>
            </w:r>
          </w:p>
        </w:tc>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3F46E79B">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20</w:t>
            </w:r>
          </w:p>
        </w:tc>
        <w:tc>
          <w:tcPr>
            <w:tcW w:w="2707"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1E30078B">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未按计划巡检或保养：扣2分/次；记录不全：扣1分/次</w:t>
            </w:r>
          </w:p>
        </w:tc>
      </w:tr>
      <w:tr w14:paraId="4DA6C421">
        <w:tblPrEx>
          <w:tblCellMar>
            <w:top w:w="0" w:type="dxa"/>
            <w:left w:w="0" w:type="dxa"/>
            <w:bottom w:w="0" w:type="dxa"/>
            <w:right w:w="0" w:type="dxa"/>
          </w:tblCellMar>
        </w:tblPrEx>
        <w:trPr>
          <w:cantSplit/>
          <w:trHeight w:val="23" w:hRule="atLeast"/>
          <w:jc w:val="center"/>
        </w:trPr>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530B4377">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3</w:t>
            </w:r>
          </w:p>
        </w:tc>
        <w:tc>
          <w:tcPr>
            <w:tcW w:w="975"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7227FE0D">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技术水平</w:t>
            </w:r>
          </w:p>
        </w:tc>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034A200E">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20</w:t>
            </w:r>
          </w:p>
        </w:tc>
        <w:tc>
          <w:tcPr>
            <w:tcW w:w="2707"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4DBC58C8">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故障修复不及时：扣2分/次</w:t>
            </w:r>
          </w:p>
        </w:tc>
      </w:tr>
      <w:tr w14:paraId="07BABFD1">
        <w:tblPrEx>
          <w:shd w:val="clear" w:color="auto" w:fill="FFFFFF"/>
          <w:tblCellMar>
            <w:top w:w="0" w:type="dxa"/>
            <w:left w:w="0" w:type="dxa"/>
            <w:bottom w:w="0" w:type="dxa"/>
            <w:right w:w="0" w:type="dxa"/>
          </w:tblCellMar>
        </w:tblPrEx>
        <w:trPr>
          <w:cantSplit/>
          <w:trHeight w:val="23" w:hRule="atLeast"/>
          <w:jc w:val="center"/>
        </w:trPr>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11BEFDCF">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4</w:t>
            </w:r>
          </w:p>
        </w:tc>
        <w:tc>
          <w:tcPr>
            <w:tcW w:w="975"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671B9D2D">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文档资料</w:t>
            </w:r>
          </w:p>
        </w:tc>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2969C348">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20</w:t>
            </w:r>
          </w:p>
        </w:tc>
        <w:tc>
          <w:tcPr>
            <w:tcW w:w="2707"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59756544">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未按时提交报告：扣2分/次内容不实：扣1分/次</w:t>
            </w:r>
          </w:p>
        </w:tc>
      </w:tr>
      <w:tr w14:paraId="09376E3B">
        <w:tblPrEx>
          <w:shd w:val="clear" w:color="auto" w:fill="FFFFFF"/>
          <w:tblCellMar>
            <w:top w:w="0" w:type="dxa"/>
            <w:left w:w="0" w:type="dxa"/>
            <w:bottom w:w="0" w:type="dxa"/>
            <w:right w:w="0" w:type="dxa"/>
          </w:tblCellMar>
        </w:tblPrEx>
        <w:trPr>
          <w:cantSplit/>
          <w:trHeight w:val="23" w:hRule="atLeast"/>
          <w:jc w:val="center"/>
        </w:trPr>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225D6DC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5</w:t>
            </w:r>
          </w:p>
        </w:tc>
        <w:tc>
          <w:tcPr>
            <w:tcW w:w="975"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7549FFC7">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安全施工</w:t>
            </w:r>
          </w:p>
        </w:tc>
        <w:tc>
          <w:tcPr>
            <w:tcW w:w="658"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32E658E0">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20</w:t>
            </w:r>
          </w:p>
        </w:tc>
        <w:tc>
          <w:tcPr>
            <w:tcW w:w="2707" w:type="pct"/>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49EC4C49">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 xml:space="preserve"> 违规操作或安全隐患：扣2分/次；发生安全事故：直接判定不合格</w:t>
            </w:r>
          </w:p>
        </w:tc>
      </w:tr>
    </w:tbl>
    <w:p w14:paraId="2E8C7B84">
      <w:pPr>
        <w:spacing w:line="240" w:lineRule="atLeast"/>
        <w:rPr>
          <w:rFonts w:ascii="Times New Roman" w:hAnsi="Times New Roman" w:eastAsia="仿宋_GB2312" w:cs="Times New Roman"/>
          <w:color w:val="000000"/>
          <w:kern w:val="0"/>
          <w:sz w:val="28"/>
          <w:szCs w:val="28"/>
        </w:rPr>
      </w:pPr>
    </w:p>
    <w:p w14:paraId="5E6B45A0">
      <w:pPr>
        <w:spacing w:line="360" w:lineRule="auto"/>
        <w:ind w:firstLine="560" w:firstLineChars="200"/>
        <w:rPr>
          <w:rFonts w:ascii="方正仿宋_GB2312" w:hAnsi="方正仿宋_GB2312" w:eastAsia="方正仿宋_GB2312" w:cs="方正仿宋_GB2312"/>
          <w:color w:val="000000"/>
          <w:kern w:val="0"/>
          <w:sz w:val="28"/>
          <w:szCs w:val="28"/>
        </w:rPr>
      </w:pPr>
      <w:r>
        <w:rPr>
          <w:rFonts w:hint="eastAsia" w:ascii="方正仿宋_GB2312" w:hAnsi="方正仿宋_GB2312" w:eastAsia="方正仿宋_GB2312" w:cs="方正仿宋_GB2312"/>
          <w:color w:val="000000"/>
          <w:kern w:val="0"/>
          <w:sz w:val="28"/>
          <w:szCs w:val="28"/>
        </w:rPr>
        <w:t>考核结果应用</w:t>
      </w:r>
    </w:p>
    <w:tbl>
      <w:tblPr>
        <w:tblStyle w:val="15"/>
        <w:tblW w:w="0" w:type="auto"/>
        <w:tblInd w:w="0" w:type="dxa"/>
        <w:shd w:val="clear" w:color="auto" w:fill="FFFFFF"/>
        <w:tblLayout w:type="autofit"/>
        <w:tblCellMar>
          <w:top w:w="0" w:type="dxa"/>
          <w:left w:w="0" w:type="dxa"/>
          <w:bottom w:w="0" w:type="dxa"/>
          <w:right w:w="0" w:type="dxa"/>
        </w:tblCellMar>
      </w:tblPr>
      <w:tblGrid>
        <w:gridCol w:w="1514"/>
        <w:gridCol w:w="3289"/>
        <w:gridCol w:w="4103"/>
      </w:tblGrid>
      <w:tr w14:paraId="0EB59774">
        <w:tblPrEx>
          <w:shd w:val="clear" w:color="auto" w:fill="FFFFFF"/>
          <w:tblCellMar>
            <w:top w:w="0" w:type="dxa"/>
            <w:left w:w="0" w:type="dxa"/>
            <w:bottom w:w="0" w:type="dxa"/>
            <w:right w:w="0" w:type="dxa"/>
          </w:tblCellMar>
        </w:tblPrEx>
        <w:trPr>
          <w:cantSplit/>
          <w:trHeight w:val="23" w:hRule="atLeast"/>
        </w:trPr>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545B00B0">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考核分数</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4236398D">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费用支付规则</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354AB95B">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备注</w:t>
            </w:r>
          </w:p>
        </w:tc>
      </w:tr>
      <w:tr w14:paraId="59351C37">
        <w:tblPrEx>
          <w:shd w:val="clear" w:color="auto" w:fill="FFFFFF"/>
          <w:tblCellMar>
            <w:top w:w="0" w:type="dxa"/>
            <w:left w:w="0" w:type="dxa"/>
            <w:bottom w:w="0" w:type="dxa"/>
            <w:right w:w="0" w:type="dxa"/>
          </w:tblCellMar>
        </w:tblPrEx>
        <w:trPr>
          <w:cantSplit/>
          <w:trHeight w:val="23" w:hRule="atLeast"/>
        </w:trPr>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677FE3E0">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≥90分</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3056050F">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全额支付当季度服务费</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6F0CCD83">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可优先续签</w:t>
            </w:r>
          </w:p>
        </w:tc>
      </w:tr>
      <w:tr w14:paraId="1DDF77D9">
        <w:tblPrEx>
          <w:shd w:val="clear" w:color="auto" w:fill="FFFFFF"/>
          <w:tblCellMar>
            <w:top w:w="0" w:type="dxa"/>
            <w:left w:w="0" w:type="dxa"/>
            <w:bottom w:w="0" w:type="dxa"/>
            <w:right w:w="0" w:type="dxa"/>
          </w:tblCellMar>
        </w:tblPrEx>
        <w:trPr>
          <w:cantSplit/>
          <w:trHeight w:val="23" w:hRule="atLeast"/>
        </w:trPr>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65884D1C">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70–89分</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390310ED">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每低1分，扣减当季度服务费的0.5%</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45AD2133">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需提交整改报告</w:t>
            </w:r>
          </w:p>
        </w:tc>
      </w:tr>
      <w:tr w14:paraId="21A34E19">
        <w:tblPrEx>
          <w:shd w:val="clear" w:color="auto" w:fill="FFFFFF"/>
          <w:tblCellMar>
            <w:top w:w="0" w:type="dxa"/>
            <w:left w:w="0" w:type="dxa"/>
            <w:bottom w:w="0" w:type="dxa"/>
            <w:right w:w="0" w:type="dxa"/>
          </w:tblCellMar>
        </w:tblPrEx>
        <w:trPr>
          <w:cantSplit/>
          <w:trHeight w:val="23" w:hRule="atLeast"/>
        </w:trPr>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21057CE7">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&lt;70分</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6A955ED1">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暂停支付服务费</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180" w:type="dxa"/>
              <w:left w:w="300" w:type="dxa"/>
              <w:bottom w:w="180" w:type="dxa"/>
              <w:right w:w="300" w:type="dxa"/>
            </w:tcMar>
            <w:vAlign w:val="center"/>
          </w:tcPr>
          <w:p w14:paraId="7F635AE7">
            <w:pPr>
              <w:widowControl/>
              <w:jc w:val="left"/>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连续两季度低于70分，招标人有权单方解除合同</w:t>
            </w:r>
          </w:p>
        </w:tc>
      </w:tr>
    </w:tbl>
    <w:p w14:paraId="10F7EA6E">
      <w:pPr>
        <w:spacing w:line="360" w:lineRule="auto"/>
        <w:ind w:firstLine="560" w:firstLineChars="200"/>
        <w:rPr>
          <w:rFonts w:ascii="方正仿宋_GB2312" w:hAnsi="方正仿宋_GB2312" w:eastAsia="方正仿宋_GB2312" w:cs="方正仿宋_GB2312"/>
          <w:color w:val="000000"/>
          <w:kern w:val="0"/>
          <w:sz w:val="28"/>
          <w:szCs w:val="28"/>
        </w:rPr>
      </w:pPr>
      <w:r>
        <w:rPr>
          <w:rFonts w:hint="eastAsia" w:ascii="方正仿宋_GB2312" w:hAnsi="方正仿宋_GB2312" w:eastAsia="方正仿宋_GB2312" w:cs="方正仿宋_GB2312"/>
          <w:color w:val="000000"/>
          <w:kern w:val="0"/>
          <w:sz w:val="28"/>
          <w:szCs w:val="28"/>
        </w:rPr>
        <w:t>重大安全事故定义</w:t>
      </w:r>
    </w:p>
    <w:p w14:paraId="11E92D2B">
      <w:pPr>
        <w:spacing w:line="360" w:lineRule="auto"/>
        <w:ind w:firstLine="560" w:firstLineChars="200"/>
        <w:rPr>
          <w:rFonts w:ascii="Times New Roman" w:hAnsi="Times New Roman" w:eastAsia="仿宋_GB2312" w:cs="Times New Roman"/>
          <w:color w:val="000000"/>
          <w:kern w:val="0"/>
          <w:sz w:val="28"/>
          <w:szCs w:val="28"/>
        </w:rPr>
      </w:pPr>
      <w:r>
        <w:rPr>
          <w:rFonts w:hint="eastAsia" w:ascii="Times New Roman" w:hAnsi="Times New Roman" w:eastAsia="仿宋_GB2312" w:cs="Times New Roman"/>
          <w:color w:val="000000"/>
          <w:kern w:val="0"/>
          <w:sz w:val="28"/>
          <w:szCs w:val="28"/>
        </w:rPr>
        <w:t>因设备故障导致以下情况之一，直接判定季度考核不合格：</w:t>
      </w:r>
    </w:p>
    <w:p w14:paraId="39768EBB">
      <w:pPr>
        <w:spacing w:line="360" w:lineRule="auto"/>
        <w:ind w:firstLine="560" w:firstLineChars="200"/>
        <w:rPr>
          <w:rFonts w:ascii="Times New Roman" w:hAnsi="Times New Roman" w:eastAsia="仿宋_GB2312" w:cs="Times New Roman"/>
          <w:color w:val="000000"/>
          <w:kern w:val="0"/>
          <w:sz w:val="28"/>
          <w:szCs w:val="28"/>
        </w:rPr>
      </w:pPr>
      <w:r>
        <w:rPr>
          <w:rFonts w:hint="eastAsia" w:ascii="Times New Roman" w:hAnsi="Times New Roman" w:eastAsia="仿宋_GB2312" w:cs="Times New Roman"/>
          <w:color w:val="000000"/>
          <w:kern w:val="0"/>
          <w:sz w:val="28"/>
          <w:szCs w:val="28"/>
        </w:rPr>
        <w:t>·人员伤亡（含轻伤及以上）；</w:t>
      </w:r>
    </w:p>
    <w:p w14:paraId="144E7A0C">
      <w:pPr>
        <w:spacing w:line="360" w:lineRule="auto"/>
        <w:ind w:firstLine="560" w:firstLineChars="200"/>
        <w:rPr>
          <w:rFonts w:ascii="Times New Roman" w:hAnsi="Times New Roman" w:eastAsia="仿宋_GB2312" w:cs="Times New Roman"/>
          <w:color w:val="000000"/>
          <w:kern w:val="0"/>
          <w:sz w:val="28"/>
          <w:szCs w:val="28"/>
        </w:rPr>
      </w:pPr>
      <w:r>
        <w:rPr>
          <w:rFonts w:hint="eastAsia" w:ascii="Times New Roman" w:hAnsi="Times New Roman" w:eastAsia="仿宋_GB2312" w:cs="Times New Roman"/>
          <w:color w:val="000000"/>
          <w:kern w:val="0"/>
          <w:sz w:val="28"/>
          <w:szCs w:val="28"/>
        </w:rPr>
        <w:t>·财产损失≥人民币10万元（含）。</w:t>
      </w:r>
    </w:p>
    <w:p w14:paraId="21ACD73B">
      <w:pPr>
        <w:numPr>
          <w:ilvl w:val="0"/>
          <w:numId w:val="2"/>
        </w:numPr>
        <w:tabs>
          <w:tab w:val="left" w:pos="1059"/>
          <w:tab w:val="left" w:pos="1060"/>
        </w:tabs>
        <w:spacing w:line="540" w:lineRule="exact"/>
        <w:ind w:firstLine="562" w:firstLineChars="200"/>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其他要求：</w:t>
      </w:r>
    </w:p>
    <w:p w14:paraId="7EC9C719">
      <w:pPr>
        <w:widowControl/>
        <w:spacing w:line="540" w:lineRule="exact"/>
        <w:ind w:firstLine="562" w:firstLineChars="200"/>
        <w:jc w:val="left"/>
        <w:rPr>
          <w:rFonts w:ascii="仿宋_GB2312" w:hAnsi="宋体" w:eastAsia="仿宋_GB2312" w:cs="仿宋_GB2312"/>
          <w:b/>
          <w:bCs/>
          <w:color w:val="000000"/>
          <w:kern w:val="0"/>
          <w:sz w:val="28"/>
          <w:szCs w:val="28"/>
          <w:lang w:bidi="ar"/>
        </w:rPr>
      </w:pPr>
    </w:p>
    <w:p w14:paraId="1DE81407">
      <w:pPr>
        <w:widowControl/>
        <w:spacing w:line="540" w:lineRule="exact"/>
        <w:ind w:firstLine="562" w:firstLineChars="200"/>
        <w:jc w:val="left"/>
        <w:rPr>
          <w:rFonts w:ascii="仿宋_GB2312" w:hAnsi="宋体" w:eastAsia="仿宋_GB2312" w:cs="仿宋_GB2312"/>
          <w:b/>
          <w:bCs/>
          <w:color w:val="000000"/>
          <w:kern w:val="0"/>
          <w:sz w:val="28"/>
          <w:szCs w:val="28"/>
          <w:lang w:bidi="ar"/>
        </w:rPr>
      </w:pPr>
    </w:p>
    <w:p w14:paraId="6B551374">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39D82AD9">
      <w:pPr>
        <w:pStyle w:val="11"/>
        <w:widowControl/>
        <w:spacing w:beforeAutospacing="0" w:afterAutospacing="0" w:line="540" w:lineRule="exact"/>
        <w:ind w:firstLine="560" w:firstLineChars="200"/>
        <w:jc w:val="both"/>
        <w:rPr>
          <w:rFonts w:ascii="仿宋_GB2312" w:hAnsi="宋体" w:eastAsia="仿宋_GB2312" w:cs="仿宋_GB2312"/>
          <w:sz w:val="28"/>
          <w:szCs w:val="28"/>
          <w:highlight w:val="none"/>
          <w:lang w:bidi="ar"/>
        </w:rPr>
      </w:pPr>
      <w:r>
        <w:rPr>
          <w:rFonts w:hint="eastAsia" w:ascii="仿宋_GB2312" w:hAnsi="宋体" w:eastAsia="仿宋_GB2312" w:cs="仿宋_GB2312"/>
          <w:sz w:val="28"/>
          <w:szCs w:val="28"/>
          <w:highlight w:val="none"/>
          <w:lang w:bidi="ar"/>
        </w:rPr>
        <w:t>1.</w:t>
      </w:r>
      <w:r>
        <w:rPr>
          <w:rFonts w:hint="eastAsia" w:ascii="仿宋_GB2312" w:eastAsia="仿宋_GB2312"/>
          <w:sz w:val="28"/>
          <w:szCs w:val="28"/>
          <w:highlight w:val="none"/>
        </w:rPr>
        <w:t>本项目采用</w:t>
      </w:r>
      <w:r>
        <w:rPr>
          <w:rFonts w:hint="eastAsia" w:ascii="仿宋_GB2312" w:hAnsi="仿宋_GB2312" w:eastAsia="仿宋_GB2312" w:cs="仿宋_GB2312"/>
          <w:color w:val="000000"/>
          <w:sz w:val="28"/>
          <w:szCs w:val="28"/>
          <w:highlight w:val="none"/>
          <w:lang w:bidi="ar"/>
        </w:rPr>
        <w:t>综合评分法</w:t>
      </w:r>
      <w:r>
        <w:rPr>
          <w:rFonts w:hint="eastAsia" w:ascii="仿宋_GB2312" w:eastAsia="仿宋_GB2312"/>
          <w:sz w:val="28"/>
          <w:szCs w:val="28"/>
          <w:highlight w:val="none"/>
        </w:rPr>
        <w:t>。（综合评分法：评审委员会首先对所有投标人投标文件进行初步评审，再按照详细评审标准进行打分，按综合得分由高到低顺序推荐中标候选人）。</w:t>
      </w:r>
    </w:p>
    <w:p w14:paraId="34F09B47">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highlight w:val="none"/>
          <w:lang w:bidi="ar"/>
        </w:rPr>
        <w:t>2.</w:t>
      </w:r>
      <w:r>
        <w:rPr>
          <w:rFonts w:hint="eastAsia" w:ascii="仿宋_GB2312" w:eastAsia="仿宋_GB2312"/>
          <w:sz w:val="28"/>
          <w:szCs w:val="28"/>
          <w:highlight w:val="none"/>
        </w:rPr>
        <w:t>该中标人的报价即为签约的合同价，其</w:t>
      </w:r>
      <w:r>
        <w:rPr>
          <w:rFonts w:hint="eastAsia" w:ascii="仿宋_GB2312" w:eastAsia="仿宋_GB2312"/>
          <w:sz w:val="28"/>
          <w:szCs w:val="28"/>
        </w:rPr>
        <w:t>报价将作为合同的组成部分。</w:t>
      </w:r>
    </w:p>
    <w:p w14:paraId="0D81C179">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45E7E7CB">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6CB4305C">
      <w:pPr>
        <w:spacing w:line="540" w:lineRule="exact"/>
        <w:ind w:firstLine="560" w:firstLineChars="200"/>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57B01C8D">
      <w:pPr>
        <w:spacing w:line="54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1A44330E">
      <w:pPr>
        <w:widowControl/>
        <w:spacing w:line="540" w:lineRule="exact"/>
        <w:jc w:val="left"/>
        <w:rPr>
          <w:rFonts w:ascii="仿宋_GB2312" w:hAnsi="宋体" w:eastAsia="仿宋_GB2312" w:cs="仿宋_GB2312"/>
          <w:b/>
          <w:bCs/>
          <w:color w:val="000000"/>
          <w:kern w:val="0"/>
          <w:sz w:val="28"/>
          <w:szCs w:val="28"/>
          <w:lang w:bidi="ar"/>
        </w:rPr>
      </w:pPr>
      <w:bookmarkStart w:id="0" w:name="OLE_LINK2"/>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45674DCB">
      <w:pPr>
        <w:spacing w:line="540" w:lineRule="exact"/>
        <w:ind w:firstLine="560" w:firstLineChars="200"/>
        <w:rPr>
          <w:rFonts w:ascii="宋体" w:hAnsi="宋体" w:eastAsia="宋体" w:cs="宋体"/>
          <w:sz w:val="24"/>
        </w:rPr>
      </w:pPr>
      <w:r>
        <w:rPr>
          <w:rFonts w:hint="eastAsia" w:ascii="仿宋_GB2312" w:eastAsia="仿宋_GB2312"/>
          <w:sz w:val="28"/>
          <w:szCs w:val="28"/>
        </w:rPr>
        <w:t>1.投标人应根据本询价采购文件内容，</w:t>
      </w:r>
      <w:r>
        <w:rPr>
          <w:rFonts w:hint="eastAsia" w:ascii="仿宋_GB2312" w:eastAsia="仿宋_GB2312"/>
          <w:sz w:val="28"/>
          <w:szCs w:val="28"/>
          <w:highlight w:val="none"/>
        </w:rPr>
        <w:t>于2025年</w:t>
      </w:r>
      <w:r>
        <w:rPr>
          <w:rFonts w:hint="eastAsia" w:ascii="仿宋_GB2312" w:eastAsia="仿宋_GB2312"/>
          <w:sz w:val="28"/>
          <w:szCs w:val="28"/>
          <w:highlight w:val="none"/>
          <w:lang w:val="en-US" w:eastAsia="zh-CN"/>
        </w:rPr>
        <w:t>10</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21</w:t>
      </w:r>
      <w:r>
        <w:rPr>
          <w:rFonts w:hint="eastAsia" w:ascii="仿宋_GB2312" w:eastAsia="仿宋_GB2312"/>
          <w:sz w:val="28"/>
          <w:szCs w:val="28"/>
          <w:highlight w:val="none"/>
        </w:rPr>
        <w:t>日10:30时间前向招标人递交投标文件，否则投标文件将被拒收。</w:t>
      </w:r>
    </w:p>
    <w:bookmarkEnd w:id="0"/>
    <w:p w14:paraId="272036F2">
      <w:pPr>
        <w:spacing w:line="540" w:lineRule="exact"/>
        <w:ind w:firstLine="560" w:firstLineChars="200"/>
        <w:rPr>
          <w:rFonts w:ascii="仿宋_GB2312" w:eastAsia="仿宋_GB2312"/>
          <w:sz w:val="28"/>
          <w:szCs w:val="28"/>
        </w:rPr>
      </w:pPr>
      <w:r>
        <w:rPr>
          <w:rFonts w:hint="eastAsia" w:ascii="仿宋_GB2312" w:eastAsia="仿宋_GB2312"/>
          <w:sz w:val="28"/>
          <w:szCs w:val="28"/>
        </w:rPr>
        <w:t>2.投标文件须加盖单位公章密封后送至合肥市明光路东方大厦22楼2208室。</w:t>
      </w:r>
    </w:p>
    <w:p w14:paraId="19E89F5C">
      <w:pPr>
        <w:spacing w:line="540" w:lineRule="exact"/>
        <w:ind w:firstLine="560" w:firstLineChars="200"/>
        <w:rPr>
          <w:rFonts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0C363DCE">
      <w:pPr>
        <w:pStyle w:val="11"/>
        <w:widowControl/>
        <w:spacing w:beforeAutospacing="0" w:afterAutospacing="0" w:line="540" w:lineRule="exact"/>
        <w:ind w:firstLine="560" w:firstLineChars="200"/>
        <w:jc w:val="both"/>
        <w:rPr>
          <w:rFonts w:ascii="仿宋_GB2312" w:eastAsia="仿宋_GB2312"/>
          <w:sz w:val="28"/>
          <w:szCs w:val="28"/>
        </w:rPr>
      </w:pPr>
      <w:r>
        <w:rPr>
          <w:rFonts w:hint="eastAsia" w:ascii="仿宋_GB2312" w:eastAsia="仿宋_GB2312"/>
          <w:sz w:val="28"/>
          <w:szCs w:val="28"/>
        </w:rPr>
        <w:t>4.开标时间：2025年</w:t>
      </w:r>
      <w:r>
        <w:rPr>
          <w:rFonts w:hint="eastAsia" w:ascii="仿宋_GB2312" w:eastAsia="仿宋_GB2312"/>
          <w:sz w:val="28"/>
          <w:szCs w:val="28"/>
          <w:lang w:val="en-US" w:eastAsia="zh-CN"/>
        </w:rPr>
        <w:t>10</w:t>
      </w:r>
      <w:r>
        <w:rPr>
          <w:rFonts w:hint="eastAsia" w:ascii="仿宋_GB2312" w:eastAsia="仿宋_GB2312"/>
          <w:sz w:val="28"/>
          <w:szCs w:val="28"/>
        </w:rPr>
        <w:t>月</w:t>
      </w:r>
      <w:r>
        <w:rPr>
          <w:rFonts w:hint="eastAsia" w:ascii="仿宋_GB2312" w:eastAsia="仿宋_GB2312"/>
          <w:sz w:val="28"/>
          <w:szCs w:val="28"/>
          <w:lang w:val="en-US" w:eastAsia="zh-CN"/>
        </w:rPr>
        <w:t>21</w:t>
      </w:r>
      <w:r>
        <w:rPr>
          <w:rFonts w:hint="eastAsia" w:ascii="仿宋_GB2312" w:eastAsia="仿宋_GB2312"/>
          <w:sz w:val="28"/>
          <w:szCs w:val="28"/>
        </w:rPr>
        <w:t>日10:30</w:t>
      </w:r>
    </w:p>
    <w:p w14:paraId="17EDAFDA">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九、补充说明</w:t>
      </w:r>
    </w:p>
    <w:p w14:paraId="147FF186">
      <w:pPr>
        <w:pStyle w:val="23"/>
        <w:spacing w:line="540" w:lineRule="exact"/>
        <w:ind w:firstLine="560" w:firstLineChars="200"/>
        <w:rPr>
          <w:rFonts w:ascii="仿宋_GB2312" w:eastAsia="仿宋_GB2312"/>
          <w:sz w:val="28"/>
          <w:szCs w:val="28"/>
        </w:rPr>
      </w:pPr>
      <w:r>
        <w:rPr>
          <w:rFonts w:hint="eastAsia" w:ascii="仿宋_GB2312" w:eastAsia="仿宋_GB2312"/>
          <w:sz w:val="28"/>
          <w:szCs w:val="28"/>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0B61656B">
      <w:pPr>
        <w:pStyle w:val="23"/>
        <w:spacing w:line="540" w:lineRule="exact"/>
        <w:ind w:firstLine="560" w:firstLineChars="200"/>
        <w:rPr>
          <w:rFonts w:ascii="仿宋_GB2312" w:eastAsia="仿宋_GB2312"/>
          <w:sz w:val="28"/>
          <w:szCs w:val="28"/>
        </w:rPr>
      </w:pPr>
      <w:r>
        <w:rPr>
          <w:rFonts w:hint="eastAsia" w:ascii="仿宋_GB2312" w:eastAsia="仿宋_GB2312"/>
          <w:sz w:val="28"/>
          <w:szCs w:val="28"/>
          <w:highlight w:val="yellow"/>
        </w:rPr>
        <w:t>2.中标单位与合肥城市泊车投资管理有限公司签订合同。</w:t>
      </w:r>
    </w:p>
    <w:p w14:paraId="327C7524">
      <w:pPr>
        <w:widowControl/>
        <w:spacing w:line="540" w:lineRule="exact"/>
        <w:ind w:firstLine="562" w:firstLineChars="200"/>
        <w:jc w:val="left"/>
        <w:rPr>
          <w:rFonts w:ascii="仿宋_GB2312" w:hAnsi="宋体" w:eastAsia="仿宋_GB2312" w:cs="仿宋_GB2312"/>
          <w:b/>
          <w:bCs/>
          <w:color w:val="000000"/>
          <w:kern w:val="0"/>
          <w:sz w:val="28"/>
          <w:szCs w:val="28"/>
          <w:lang w:bidi="ar"/>
        </w:rPr>
      </w:pPr>
    </w:p>
    <w:p w14:paraId="6BA6B38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十、联系方式 </w:t>
      </w:r>
    </w:p>
    <w:p w14:paraId="75432161">
      <w:pPr>
        <w:spacing w:line="540" w:lineRule="exact"/>
        <w:ind w:firstLine="560" w:firstLineChars="200"/>
        <w:rPr>
          <w:rFonts w:ascii="仿宋_GB2312" w:eastAsia="仿宋_GB2312"/>
          <w:sz w:val="28"/>
          <w:szCs w:val="28"/>
        </w:rPr>
      </w:pPr>
      <w:r>
        <w:rPr>
          <w:rFonts w:hint="eastAsia" w:ascii="仿宋_GB2312" w:eastAsia="仿宋_GB2312"/>
          <w:sz w:val="28"/>
          <w:szCs w:val="28"/>
        </w:rPr>
        <w:t>地址：合肥市明光路东方大厦22楼2208室</w:t>
      </w:r>
    </w:p>
    <w:p w14:paraId="2B647B81">
      <w:pPr>
        <w:spacing w:line="540" w:lineRule="exact"/>
        <w:ind w:firstLine="560" w:firstLineChars="200"/>
        <w:rPr>
          <w:rFonts w:ascii="仿宋_GB2312" w:eastAsia="仿宋_GB2312"/>
          <w:sz w:val="28"/>
          <w:szCs w:val="28"/>
        </w:rPr>
      </w:pPr>
      <w:r>
        <w:rPr>
          <w:rFonts w:hint="eastAsia" w:ascii="仿宋_GB2312" w:eastAsia="仿宋_GB2312"/>
          <w:sz w:val="28"/>
          <w:szCs w:val="28"/>
        </w:rPr>
        <w:t>联系人：潘工</w:t>
      </w:r>
    </w:p>
    <w:p w14:paraId="48E2C1AE">
      <w:pPr>
        <w:spacing w:line="540" w:lineRule="exact"/>
        <w:ind w:firstLine="560" w:firstLineChars="200"/>
        <w:rPr>
          <w:rFonts w:ascii="仿宋_GB2312" w:eastAsia="仿宋_GB2312"/>
          <w:sz w:val="28"/>
          <w:szCs w:val="28"/>
        </w:rPr>
      </w:pPr>
      <w:r>
        <w:rPr>
          <w:rFonts w:hint="eastAsia" w:ascii="仿宋_GB2312" w:eastAsia="仿宋_GB2312"/>
          <w:sz w:val="28"/>
          <w:szCs w:val="28"/>
        </w:rPr>
        <w:t>电话： 15255128586</w:t>
      </w:r>
    </w:p>
    <w:p w14:paraId="3E2D046E">
      <w:pPr>
        <w:spacing w:line="540" w:lineRule="exact"/>
        <w:ind w:firstLine="560" w:firstLineChars="200"/>
        <w:rPr>
          <w:rFonts w:ascii="仿宋_GB2312" w:eastAsia="仿宋_GB2312"/>
          <w:sz w:val="28"/>
          <w:szCs w:val="28"/>
        </w:rPr>
      </w:pPr>
    </w:p>
    <w:p w14:paraId="600FD018">
      <w:pPr>
        <w:spacing w:line="540" w:lineRule="exact"/>
        <w:ind w:firstLine="560" w:firstLineChars="200"/>
        <w:rPr>
          <w:rFonts w:ascii="仿宋_GB2312" w:eastAsia="仿宋_GB2312"/>
          <w:sz w:val="28"/>
          <w:szCs w:val="28"/>
        </w:rPr>
      </w:pPr>
    </w:p>
    <w:p w14:paraId="59AF0448">
      <w:pPr>
        <w:widowControl/>
        <w:spacing w:line="540" w:lineRule="exact"/>
        <w:ind w:firstLine="560" w:firstLineChars="200"/>
        <w:jc w:val="right"/>
        <w:rPr>
          <w:rFonts w:ascii="仿宋_GB2312" w:eastAsia="仿宋_GB2312"/>
          <w:sz w:val="28"/>
          <w:szCs w:val="28"/>
        </w:rPr>
      </w:pPr>
    </w:p>
    <w:p w14:paraId="2A4416A6">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1125A5A4">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 xml:space="preserve">                            2025年9月2</w:t>
      </w:r>
      <w:r>
        <w:rPr>
          <w:rFonts w:hint="eastAsia" w:ascii="仿宋_GB2312" w:eastAsia="仿宋_GB2312"/>
          <w:sz w:val="28"/>
          <w:szCs w:val="28"/>
          <w:lang w:val="en-US" w:eastAsia="zh-CN"/>
        </w:rPr>
        <w:t>5</w:t>
      </w:r>
      <w:r>
        <w:rPr>
          <w:rFonts w:hint="eastAsia" w:ascii="仿宋_GB2312" w:eastAsia="仿宋_GB2312"/>
          <w:sz w:val="28"/>
          <w:szCs w:val="28"/>
        </w:rPr>
        <w:t>日</w:t>
      </w:r>
    </w:p>
    <w:p w14:paraId="6C50350E">
      <w:pPr>
        <w:spacing w:line="540" w:lineRule="exact"/>
        <w:ind w:firstLine="560" w:firstLineChars="200"/>
        <w:rPr>
          <w:rFonts w:ascii="仿宋_GB2312" w:eastAsia="仿宋_GB2312"/>
          <w:sz w:val="28"/>
          <w:szCs w:val="28"/>
        </w:rPr>
      </w:pPr>
    </w:p>
    <w:p w14:paraId="5C1047EE">
      <w:pPr>
        <w:spacing w:line="540" w:lineRule="exact"/>
        <w:ind w:firstLine="560" w:firstLineChars="200"/>
        <w:rPr>
          <w:rFonts w:ascii="仿宋_GB2312" w:eastAsia="仿宋_GB2312"/>
          <w:sz w:val="28"/>
          <w:szCs w:val="28"/>
        </w:rPr>
      </w:pPr>
    </w:p>
    <w:p w14:paraId="77A45A63">
      <w:pPr>
        <w:spacing w:line="540" w:lineRule="exact"/>
        <w:ind w:firstLine="560" w:firstLineChars="200"/>
        <w:rPr>
          <w:rFonts w:ascii="仿宋_GB2312" w:eastAsia="仿宋_GB2312"/>
          <w:sz w:val="28"/>
          <w:szCs w:val="28"/>
        </w:rPr>
      </w:pPr>
      <w:bookmarkStart w:id="6" w:name="_GoBack"/>
      <w:bookmarkEnd w:id="6"/>
    </w:p>
    <w:p w14:paraId="772C7B80">
      <w:pPr>
        <w:spacing w:line="540" w:lineRule="exact"/>
        <w:ind w:firstLine="560" w:firstLineChars="200"/>
        <w:rPr>
          <w:rFonts w:ascii="仿宋_GB2312" w:eastAsia="仿宋_GB2312"/>
          <w:sz w:val="28"/>
          <w:szCs w:val="28"/>
        </w:rPr>
      </w:pPr>
    </w:p>
    <w:p w14:paraId="008AE14E">
      <w:pPr>
        <w:spacing w:line="540" w:lineRule="exact"/>
        <w:ind w:firstLine="560" w:firstLineChars="200"/>
        <w:rPr>
          <w:rFonts w:ascii="仿宋_GB2312" w:eastAsia="仿宋_GB2312"/>
          <w:sz w:val="28"/>
          <w:szCs w:val="28"/>
        </w:rPr>
      </w:pPr>
      <w:r>
        <w:rPr>
          <w:rFonts w:hint="eastAsia" w:ascii="仿宋_GB2312" w:eastAsia="仿宋_GB2312"/>
          <w:sz w:val="28"/>
          <w:szCs w:val="28"/>
        </w:rPr>
        <w:t>附件：</w:t>
      </w:r>
    </w:p>
    <w:p w14:paraId="6AF20DED">
      <w:pPr>
        <w:spacing w:line="540" w:lineRule="exact"/>
        <w:ind w:left="420" w:firstLine="420"/>
        <w:rPr>
          <w:rFonts w:ascii="仿宋_GB2312" w:eastAsia="仿宋_GB2312"/>
          <w:sz w:val="28"/>
          <w:szCs w:val="28"/>
        </w:rPr>
      </w:pPr>
      <w:r>
        <w:rPr>
          <w:rFonts w:hint="eastAsia" w:ascii="仿宋_GB2312" w:eastAsia="仿宋_GB2312"/>
          <w:sz w:val="28"/>
          <w:szCs w:val="28"/>
        </w:rPr>
        <w:t>1.投标函</w:t>
      </w:r>
    </w:p>
    <w:p w14:paraId="630D3DD3">
      <w:pPr>
        <w:spacing w:line="540" w:lineRule="exact"/>
        <w:ind w:left="420" w:firstLine="420"/>
        <w:rPr>
          <w:rFonts w:ascii="仿宋_GB2312" w:eastAsia="仿宋_GB2312"/>
          <w:sz w:val="28"/>
          <w:szCs w:val="28"/>
        </w:rPr>
      </w:pPr>
      <w:r>
        <w:rPr>
          <w:rFonts w:hint="eastAsia" w:ascii="仿宋_GB2312" w:eastAsia="仿宋_GB2312"/>
          <w:sz w:val="28"/>
          <w:szCs w:val="28"/>
        </w:rPr>
        <w:t>2.报价单</w:t>
      </w:r>
    </w:p>
    <w:p w14:paraId="0E09AF48">
      <w:pPr>
        <w:pStyle w:val="11"/>
        <w:widowControl/>
        <w:spacing w:beforeAutospacing="0" w:afterAutospacing="0" w:line="540" w:lineRule="exact"/>
        <w:ind w:left="420" w:firstLine="42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249618A7">
      <w:pPr>
        <w:pStyle w:val="11"/>
        <w:widowControl/>
        <w:spacing w:beforeAutospacing="0" w:afterAutospacing="0" w:line="540" w:lineRule="exact"/>
        <w:ind w:left="420" w:firstLine="420"/>
        <w:jc w:val="both"/>
        <w:rPr>
          <w:rFonts w:ascii="仿宋_GB2312" w:eastAsia="仿宋_GB2312"/>
          <w:sz w:val="28"/>
          <w:szCs w:val="28"/>
        </w:rPr>
      </w:pPr>
      <w:r>
        <w:rPr>
          <w:rFonts w:hint="eastAsia" w:ascii="仿宋_GB2312" w:hAnsi="仿宋_GB2312" w:eastAsia="仿宋_GB2312" w:cs="仿宋_GB2312"/>
          <w:sz w:val="28"/>
          <w:szCs w:val="28"/>
          <w:lang w:bidi="ar"/>
        </w:rPr>
        <w:t>4.详细评审表</w:t>
      </w:r>
    </w:p>
    <w:p w14:paraId="2D3C7AB0">
      <w:pPr>
        <w:spacing w:line="540" w:lineRule="exact"/>
        <w:ind w:left="420" w:firstLine="420"/>
        <w:rPr>
          <w:rFonts w:ascii="仿宋_GB2312" w:eastAsia="仿宋_GB2312"/>
          <w:sz w:val="28"/>
          <w:szCs w:val="28"/>
        </w:rPr>
      </w:pPr>
      <w:r>
        <w:rPr>
          <w:rFonts w:hint="eastAsia" w:ascii="仿宋_GB2312" w:eastAsia="仿宋_GB2312"/>
          <w:sz w:val="28"/>
          <w:szCs w:val="28"/>
        </w:rPr>
        <w:t>5.授权委托书</w:t>
      </w:r>
    </w:p>
    <w:p w14:paraId="043B7860">
      <w:pPr>
        <w:spacing w:line="540" w:lineRule="exact"/>
        <w:ind w:left="420" w:firstLine="420"/>
        <w:rPr>
          <w:rFonts w:ascii="仿宋_GB2312" w:eastAsia="仿宋_GB2312"/>
          <w:sz w:val="28"/>
          <w:szCs w:val="28"/>
        </w:rPr>
      </w:pPr>
      <w:r>
        <w:rPr>
          <w:rFonts w:hint="eastAsia" w:ascii="仿宋_GB2312" w:eastAsia="仿宋_GB2312"/>
          <w:sz w:val="28"/>
          <w:szCs w:val="28"/>
        </w:rPr>
        <w:t>6.拟派本项目人员清单</w:t>
      </w:r>
    </w:p>
    <w:p w14:paraId="7885A475">
      <w:pPr>
        <w:spacing w:line="540" w:lineRule="exact"/>
        <w:ind w:left="420" w:firstLine="420"/>
        <w:rPr>
          <w:rFonts w:ascii="仿宋_GB2312" w:eastAsia="仿宋_GB2312"/>
          <w:sz w:val="28"/>
          <w:szCs w:val="28"/>
        </w:rPr>
      </w:pPr>
      <w:r>
        <w:rPr>
          <w:rFonts w:hint="eastAsia" w:ascii="仿宋_GB2312" w:eastAsia="仿宋_GB2312"/>
          <w:sz w:val="28"/>
          <w:szCs w:val="28"/>
        </w:rPr>
        <w:t>7.无不良征信承诺书</w:t>
      </w:r>
    </w:p>
    <w:p w14:paraId="3A031570">
      <w:pPr>
        <w:spacing w:line="540" w:lineRule="exact"/>
        <w:ind w:firstLine="560" w:firstLineChars="200"/>
        <w:rPr>
          <w:rFonts w:ascii="仿宋_GB2312" w:eastAsia="仿宋_GB2312"/>
          <w:sz w:val="28"/>
          <w:szCs w:val="28"/>
        </w:rPr>
      </w:pPr>
    </w:p>
    <w:p w14:paraId="235A4A1F">
      <w:pPr>
        <w:rPr>
          <w:rFonts w:ascii="仿宋_GB2312" w:eastAsia="仿宋_GB2312"/>
          <w:sz w:val="32"/>
          <w:szCs w:val="32"/>
        </w:rPr>
      </w:pPr>
      <w:r>
        <w:rPr>
          <w:rFonts w:hint="eastAsia" w:ascii="仿宋_GB2312" w:eastAsia="仿宋_GB2312"/>
          <w:sz w:val="32"/>
          <w:szCs w:val="32"/>
        </w:rPr>
        <w:br w:type="page"/>
      </w:r>
    </w:p>
    <w:p w14:paraId="59DA5855">
      <w:pPr>
        <w:rPr>
          <w:rFonts w:ascii="仿宋_GB2312" w:eastAsia="仿宋_GB2312"/>
          <w:sz w:val="32"/>
          <w:szCs w:val="32"/>
        </w:rPr>
      </w:pPr>
      <w:r>
        <w:rPr>
          <w:rFonts w:hint="eastAsia" w:ascii="仿宋_GB2312" w:eastAsia="仿宋_GB2312"/>
          <w:sz w:val="32"/>
          <w:szCs w:val="32"/>
        </w:rPr>
        <w:t>附件1</w:t>
      </w:r>
    </w:p>
    <w:p w14:paraId="287BA340">
      <w:pPr>
        <w:pStyle w:val="11"/>
        <w:widowControl/>
        <w:spacing w:beforeAutospacing="0" w:afterAutospacing="0" w:line="460" w:lineRule="exact"/>
        <w:ind w:firstLine="643" w:firstLineChars="200"/>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2A329715">
      <w:pPr>
        <w:pStyle w:val="11"/>
        <w:widowControl/>
        <w:spacing w:beforeAutospacing="0" w:afterAutospacing="0" w:line="460" w:lineRule="exact"/>
        <w:ind w:firstLine="560" w:firstLineChars="200"/>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致：合肥城市泊车投资管理有限公司</w:t>
      </w:r>
    </w:p>
    <w:p w14:paraId="71DAC962">
      <w:pPr>
        <w:pStyle w:val="11"/>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eastAsia="仿宋_GB2312" w:cstheme="minorBidi"/>
          <w:kern w:val="2"/>
          <w:sz w:val="28"/>
          <w:szCs w:val="28"/>
          <w:u w:val="single"/>
        </w:rPr>
        <w:t>和平路P+R停车场机械车库年度维保服务项目</w:t>
      </w:r>
      <w:r>
        <w:rPr>
          <w:rFonts w:hint="eastAsia" w:ascii="仿宋_GB2312" w:eastAsia="仿宋_GB2312" w:cstheme="minorBidi"/>
          <w:kern w:val="2"/>
          <w:sz w:val="28"/>
          <w:szCs w:val="28"/>
        </w:rPr>
        <w:t>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716C9CC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6EC65E2B">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4B179187">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6236D643">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6CC6A99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1C652395">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6F12CC3D">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3F323A72">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04F8EBAD">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5C761188">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388B6566">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56BDCF79">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4ACD317E">
      <w:pPr>
        <w:spacing w:line="460" w:lineRule="exact"/>
        <w:ind w:firstLine="560" w:firstLineChars="200"/>
        <w:rPr>
          <w:rFonts w:ascii="仿宋_GB2312" w:hAnsi="仿宋_GB2312" w:eastAsia="仿宋_GB2312" w:cs="仿宋_GB2312"/>
          <w:color w:val="000000"/>
          <w:sz w:val="28"/>
          <w:szCs w:val="28"/>
        </w:rPr>
      </w:pPr>
    </w:p>
    <w:p w14:paraId="3CF09520">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7495CB1B">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319DCCE3">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0DC9E088">
      <w:pPr>
        <w:rPr>
          <w:rFonts w:ascii="仿宋_GB2312" w:eastAsia="仿宋_GB2312"/>
          <w:sz w:val="32"/>
          <w:szCs w:val="32"/>
        </w:rPr>
      </w:pPr>
      <w:r>
        <w:rPr>
          <w:rFonts w:hint="eastAsia" w:ascii="仿宋_GB2312" w:eastAsia="仿宋_GB2312"/>
          <w:sz w:val="32"/>
          <w:szCs w:val="32"/>
        </w:rPr>
        <w:t>附件2</w:t>
      </w:r>
    </w:p>
    <w:p w14:paraId="14B78080">
      <w:pPr>
        <w:ind w:firstLine="723" w:firstLineChars="200"/>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5"/>
        <w:tblW w:w="8439" w:type="dxa"/>
        <w:jc w:val="center"/>
        <w:tblLayout w:type="autofit"/>
        <w:tblCellMar>
          <w:top w:w="0" w:type="dxa"/>
          <w:left w:w="108" w:type="dxa"/>
          <w:bottom w:w="0" w:type="dxa"/>
          <w:right w:w="108" w:type="dxa"/>
        </w:tblCellMar>
      </w:tblPr>
      <w:tblGrid>
        <w:gridCol w:w="2436"/>
        <w:gridCol w:w="6003"/>
      </w:tblGrid>
      <w:tr w14:paraId="7E8DA371">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95FBA">
            <w:pPr>
              <w:widowControl/>
              <w:ind w:firstLine="560" w:firstLineChars="200"/>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6E6A495F">
            <w:pPr>
              <w:ind w:firstLine="560" w:firstLineChars="200"/>
              <w:jc w:val="center"/>
              <w:rPr>
                <w:rFonts w:ascii="仿宋" w:hAnsi="仿宋" w:eastAsia="仿宋" w:cs="仿宋"/>
                <w:color w:val="000000"/>
                <w:sz w:val="28"/>
                <w:szCs w:val="28"/>
              </w:rPr>
            </w:pPr>
          </w:p>
        </w:tc>
      </w:tr>
      <w:tr w14:paraId="05F8B406">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40F7A">
            <w:pPr>
              <w:widowControl/>
              <w:ind w:firstLine="560" w:firstLineChars="200"/>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284AC">
            <w:pPr>
              <w:widowControl/>
              <w:ind w:firstLine="560" w:firstLineChars="200"/>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7A2F48F2">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311EEF4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 w:hAnsi="仿宋" w:eastAsia="仿宋" w:cs="仿宋"/>
                <w:color w:val="000000"/>
                <w:kern w:val="0"/>
                <w:sz w:val="28"/>
                <w:szCs w:val="28"/>
                <w:highlight w:val="yellow"/>
                <w:lang w:bidi="ar"/>
              </w:rPr>
              <w:t>注：</w:t>
            </w:r>
            <w:r>
              <w:rPr>
                <w:rFonts w:hint="eastAsia" w:ascii="仿宋_GB2312" w:hAnsi="宋体" w:eastAsia="仿宋_GB2312" w:cs="仿宋_GB2312"/>
                <w:kern w:val="0"/>
                <w:sz w:val="28"/>
                <w:szCs w:val="28"/>
                <w:lang w:bidi="ar"/>
              </w:rPr>
              <w:t>上述总价包含乙方履行本合同所需的全部费用（含人工、材料、运输、保险、技术服务、管理、利润、税费及风险等），除双方另行书面约定外，甲方不再支付任何额外费用，且在合同履行期间不予调整。</w:t>
            </w:r>
          </w:p>
          <w:p w14:paraId="0ACE008A">
            <w:pPr>
              <w:widowControl/>
              <w:ind w:firstLine="560" w:firstLineChars="200"/>
              <w:textAlignment w:val="top"/>
              <w:rPr>
                <w:rFonts w:ascii="仿宋" w:hAnsi="仿宋" w:eastAsia="仿宋" w:cs="仿宋"/>
                <w:color w:val="000000"/>
                <w:kern w:val="0"/>
                <w:sz w:val="28"/>
                <w:szCs w:val="28"/>
                <w:lang w:bidi="ar"/>
              </w:rPr>
            </w:pPr>
          </w:p>
          <w:p w14:paraId="1BF752C6">
            <w:pPr>
              <w:widowControl/>
              <w:ind w:firstLine="560" w:firstLineChars="200"/>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030E7603">
      <w:pPr>
        <w:snapToGrid w:val="0"/>
        <w:spacing w:line="360" w:lineRule="auto"/>
        <w:ind w:left="5550" w:firstLine="482" w:firstLineChars="200"/>
        <w:jc w:val="center"/>
        <w:rPr>
          <w:rFonts w:ascii="仿宋" w:hAnsi="仿宋" w:eastAsia="仿宋" w:cs="仿宋"/>
          <w:b/>
          <w:bCs/>
          <w:sz w:val="24"/>
        </w:rPr>
      </w:pPr>
    </w:p>
    <w:p w14:paraId="5CD1FB93">
      <w:pPr>
        <w:spacing w:line="320" w:lineRule="exact"/>
        <w:ind w:firstLine="482" w:firstLineChars="200"/>
        <w:rPr>
          <w:rFonts w:ascii="仿宋" w:hAnsi="仿宋" w:eastAsia="仿宋" w:cs="仿宋"/>
          <w:b/>
          <w:bCs/>
          <w:sz w:val="24"/>
        </w:rPr>
      </w:pPr>
      <w:r>
        <w:rPr>
          <w:rFonts w:hint="eastAsia" w:ascii="仿宋" w:hAnsi="仿宋" w:eastAsia="仿宋" w:cs="仿宋"/>
          <w:b/>
          <w:bCs/>
          <w:sz w:val="24"/>
        </w:rPr>
        <w:t>投标单位（盖章）：                             日期：</w:t>
      </w:r>
    </w:p>
    <w:p w14:paraId="7EAD0FDE">
      <w:pPr>
        <w:spacing w:line="320" w:lineRule="exact"/>
        <w:ind w:firstLine="480" w:firstLineChars="200"/>
        <w:rPr>
          <w:rFonts w:ascii="宋体" w:hAnsi="宋体"/>
          <w:sz w:val="24"/>
        </w:rPr>
      </w:pPr>
    </w:p>
    <w:p w14:paraId="5046A3D8">
      <w:pPr>
        <w:ind w:firstLine="640" w:firstLineChars="200"/>
        <w:rPr>
          <w:rFonts w:ascii="仿宋_GB2312" w:eastAsia="仿宋_GB2312"/>
          <w:sz w:val="32"/>
          <w:szCs w:val="32"/>
        </w:rPr>
      </w:pPr>
    </w:p>
    <w:p w14:paraId="41087A66">
      <w:pPr>
        <w:ind w:firstLine="640" w:firstLineChars="200"/>
        <w:rPr>
          <w:rFonts w:ascii="仿宋_GB2312" w:eastAsia="仿宋_GB2312"/>
          <w:sz w:val="32"/>
          <w:szCs w:val="32"/>
        </w:rPr>
      </w:pPr>
    </w:p>
    <w:p w14:paraId="7D4C683A">
      <w:pPr>
        <w:pStyle w:val="11"/>
        <w:widowControl/>
        <w:spacing w:beforeAutospacing="0" w:after="150" w:afterAutospacing="0"/>
        <w:ind w:firstLine="640" w:firstLineChars="200"/>
        <w:jc w:val="both"/>
        <w:rPr>
          <w:rFonts w:ascii="仿宋_GB2312" w:hAnsi="仿宋_GB2312" w:eastAsia="仿宋_GB2312" w:cs="仿宋_GB2312"/>
          <w:sz w:val="32"/>
          <w:szCs w:val="32"/>
          <w:lang w:bidi="ar"/>
        </w:rPr>
      </w:pPr>
    </w:p>
    <w:p w14:paraId="77477CB7">
      <w:pPr>
        <w:pStyle w:val="11"/>
        <w:widowControl/>
        <w:spacing w:beforeAutospacing="0" w:after="150" w:afterAutospacing="0"/>
        <w:ind w:firstLine="640" w:firstLineChars="200"/>
        <w:jc w:val="both"/>
        <w:rPr>
          <w:rFonts w:ascii="仿宋_GB2312" w:hAnsi="仿宋_GB2312" w:eastAsia="仿宋_GB2312" w:cs="仿宋_GB2312"/>
          <w:sz w:val="32"/>
          <w:szCs w:val="32"/>
          <w:lang w:bidi="ar"/>
        </w:rPr>
      </w:pPr>
    </w:p>
    <w:p w14:paraId="0C887E3B">
      <w:pPr>
        <w:pStyle w:val="11"/>
        <w:widowControl/>
        <w:spacing w:beforeAutospacing="0" w:after="150" w:afterAutospacing="0"/>
        <w:ind w:firstLine="640" w:firstLineChars="200"/>
        <w:jc w:val="both"/>
        <w:rPr>
          <w:rFonts w:ascii="仿宋_GB2312" w:hAnsi="仿宋_GB2312" w:eastAsia="仿宋_GB2312" w:cs="仿宋_GB2312"/>
          <w:sz w:val="32"/>
          <w:szCs w:val="32"/>
          <w:lang w:bidi="ar"/>
        </w:rPr>
      </w:pPr>
    </w:p>
    <w:p w14:paraId="6B5F59C0">
      <w:pPr>
        <w:pStyle w:val="11"/>
        <w:widowControl/>
        <w:spacing w:beforeAutospacing="0" w:after="150" w:afterAutospacing="0"/>
        <w:ind w:firstLine="640" w:firstLineChars="200"/>
        <w:jc w:val="both"/>
        <w:rPr>
          <w:rFonts w:ascii="仿宋_GB2312" w:hAnsi="仿宋_GB2312" w:eastAsia="仿宋_GB2312" w:cs="仿宋_GB2312"/>
          <w:sz w:val="32"/>
          <w:szCs w:val="32"/>
          <w:lang w:bidi="ar"/>
        </w:rPr>
      </w:pPr>
    </w:p>
    <w:p w14:paraId="4402FD0E">
      <w:pPr>
        <w:pStyle w:val="11"/>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41B2E7EA">
      <w:pPr>
        <w:pStyle w:val="11"/>
        <w:widowControl/>
        <w:spacing w:beforeAutospacing="0" w:after="150" w:afterAutospacing="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
        <w:gridCol w:w="2524"/>
        <w:gridCol w:w="1341"/>
        <w:gridCol w:w="917"/>
        <w:gridCol w:w="3293"/>
      </w:tblGrid>
      <w:tr w14:paraId="74142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0" w:type="auto"/>
            <w:tcBorders>
              <w:bottom w:val="single" w:color="auto" w:sz="4" w:space="0"/>
            </w:tcBorders>
            <w:vAlign w:val="center"/>
          </w:tcPr>
          <w:p w14:paraId="0777D015">
            <w:pPr>
              <w:adjustRightInd w:val="0"/>
              <w:snapToGrid w:val="0"/>
              <w:spacing w:line="400" w:lineRule="exact"/>
              <w:ind w:right="-10"/>
              <w:rPr>
                <w:rFonts w:ascii="仿宋" w:hAnsi="仿宋" w:eastAsia="仿宋" w:cs="仿宋"/>
                <w:b/>
                <w:bCs/>
                <w:color w:val="000000"/>
                <w:sz w:val="24"/>
              </w:rPr>
            </w:pPr>
            <w:r>
              <w:rPr>
                <w:rFonts w:hint="eastAsia" w:ascii="仿宋" w:hAnsi="仿宋" w:eastAsia="仿宋" w:cs="仿宋"/>
                <w:b/>
                <w:bCs/>
                <w:color w:val="000000"/>
                <w:sz w:val="24"/>
              </w:rPr>
              <w:t>序号</w:t>
            </w:r>
          </w:p>
        </w:tc>
        <w:tc>
          <w:tcPr>
            <w:tcW w:w="2450" w:type="dxa"/>
            <w:tcBorders>
              <w:bottom w:val="single" w:color="auto" w:sz="4" w:space="0"/>
            </w:tcBorders>
            <w:vAlign w:val="center"/>
          </w:tcPr>
          <w:p w14:paraId="1A766177">
            <w:pPr>
              <w:adjustRightInd w:val="0"/>
              <w:snapToGrid w:val="0"/>
              <w:spacing w:line="400" w:lineRule="exact"/>
              <w:ind w:right="-10"/>
              <w:rPr>
                <w:rFonts w:ascii="仿宋" w:hAnsi="仿宋" w:eastAsia="仿宋" w:cs="仿宋"/>
                <w:b/>
                <w:bCs/>
                <w:color w:val="000000"/>
                <w:sz w:val="24"/>
              </w:rPr>
            </w:pPr>
            <w:r>
              <w:rPr>
                <w:rFonts w:hint="eastAsia" w:ascii="仿宋" w:hAnsi="仿宋" w:eastAsia="仿宋" w:cs="仿宋"/>
                <w:b/>
                <w:bCs/>
                <w:color w:val="000000"/>
                <w:sz w:val="24"/>
              </w:rPr>
              <w:t>实质性指标名称</w:t>
            </w:r>
          </w:p>
        </w:tc>
        <w:tc>
          <w:tcPr>
            <w:tcW w:w="1340" w:type="dxa"/>
            <w:tcBorders>
              <w:bottom w:val="single" w:color="auto" w:sz="4" w:space="0"/>
            </w:tcBorders>
            <w:vAlign w:val="center"/>
          </w:tcPr>
          <w:p w14:paraId="4A85CFAC">
            <w:pPr>
              <w:adjustRightInd w:val="0"/>
              <w:snapToGrid w:val="0"/>
              <w:spacing w:line="400" w:lineRule="exact"/>
              <w:ind w:right="-10"/>
              <w:rPr>
                <w:rFonts w:ascii="仿宋" w:hAnsi="仿宋" w:eastAsia="仿宋" w:cs="仿宋"/>
                <w:b/>
                <w:bCs/>
                <w:color w:val="000000"/>
                <w:sz w:val="24"/>
              </w:rPr>
            </w:pPr>
            <w:r>
              <w:rPr>
                <w:rFonts w:hint="eastAsia" w:ascii="仿宋" w:hAnsi="仿宋" w:eastAsia="仿宋" w:cs="仿宋"/>
                <w:b/>
                <w:bCs/>
                <w:color w:val="000000"/>
                <w:sz w:val="24"/>
              </w:rPr>
              <w:t>指标要求</w:t>
            </w:r>
          </w:p>
        </w:tc>
        <w:tc>
          <w:tcPr>
            <w:tcW w:w="793" w:type="dxa"/>
            <w:tcBorders>
              <w:bottom w:val="single" w:color="auto" w:sz="4" w:space="0"/>
            </w:tcBorders>
            <w:vAlign w:val="center"/>
          </w:tcPr>
          <w:p w14:paraId="0A7CD13B">
            <w:pPr>
              <w:adjustRightInd w:val="0"/>
              <w:snapToGrid w:val="0"/>
              <w:spacing w:line="400" w:lineRule="exact"/>
              <w:ind w:right="-10"/>
              <w:rPr>
                <w:rFonts w:ascii="仿宋" w:hAnsi="仿宋" w:eastAsia="仿宋" w:cs="仿宋"/>
                <w:b/>
                <w:bCs/>
                <w:color w:val="000000"/>
                <w:sz w:val="24"/>
              </w:rPr>
            </w:pPr>
            <w:r>
              <w:rPr>
                <w:rFonts w:hint="eastAsia" w:ascii="仿宋" w:hAnsi="仿宋" w:eastAsia="仿宋" w:cs="仿宋"/>
                <w:b/>
                <w:bCs/>
                <w:color w:val="000000"/>
                <w:sz w:val="24"/>
              </w:rPr>
              <w:t>是否通过</w:t>
            </w:r>
          </w:p>
        </w:tc>
        <w:tc>
          <w:tcPr>
            <w:tcW w:w="3442" w:type="dxa"/>
            <w:tcBorders>
              <w:bottom w:val="single" w:color="auto" w:sz="4" w:space="0"/>
            </w:tcBorders>
            <w:vAlign w:val="center"/>
          </w:tcPr>
          <w:p w14:paraId="71736C71">
            <w:pPr>
              <w:adjustRightInd w:val="0"/>
              <w:snapToGrid w:val="0"/>
              <w:spacing w:line="400" w:lineRule="exact"/>
              <w:ind w:right="-10"/>
              <w:rPr>
                <w:rFonts w:ascii="仿宋" w:hAnsi="仿宋" w:eastAsia="仿宋" w:cs="仿宋"/>
                <w:b/>
                <w:bCs/>
                <w:color w:val="000000"/>
                <w:sz w:val="24"/>
              </w:rPr>
            </w:pPr>
            <w:r>
              <w:rPr>
                <w:rFonts w:hint="eastAsia" w:ascii="仿宋" w:hAnsi="仿宋" w:eastAsia="仿宋" w:cs="仿宋"/>
                <w:b/>
                <w:bCs/>
                <w:color w:val="000000"/>
                <w:sz w:val="24"/>
              </w:rPr>
              <w:t>响应文件格式及提交资料要求</w:t>
            </w:r>
          </w:p>
        </w:tc>
      </w:tr>
      <w:tr w14:paraId="02958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0" w:type="auto"/>
            <w:tcBorders>
              <w:bottom w:val="single" w:color="auto" w:sz="4" w:space="0"/>
            </w:tcBorders>
            <w:vAlign w:val="center"/>
          </w:tcPr>
          <w:p w14:paraId="44C66E9E">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1</w:t>
            </w:r>
          </w:p>
        </w:tc>
        <w:tc>
          <w:tcPr>
            <w:tcW w:w="2450" w:type="dxa"/>
            <w:tcBorders>
              <w:bottom w:val="single" w:color="auto" w:sz="4" w:space="0"/>
            </w:tcBorders>
            <w:vAlign w:val="center"/>
          </w:tcPr>
          <w:p w14:paraId="0B8E8C14">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投标函</w:t>
            </w:r>
          </w:p>
        </w:tc>
        <w:tc>
          <w:tcPr>
            <w:tcW w:w="1340" w:type="dxa"/>
            <w:tcBorders>
              <w:bottom w:val="single" w:color="auto" w:sz="4" w:space="0"/>
            </w:tcBorders>
            <w:vAlign w:val="center"/>
          </w:tcPr>
          <w:p w14:paraId="76A08539">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符合采购文件要求</w:t>
            </w:r>
          </w:p>
        </w:tc>
        <w:tc>
          <w:tcPr>
            <w:tcW w:w="793" w:type="dxa"/>
            <w:tcBorders>
              <w:bottom w:val="single" w:color="auto" w:sz="4" w:space="0"/>
            </w:tcBorders>
            <w:vAlign w:val="center"/>
          </w:tcPr>
          <w:p w14:paraId="0723D120">
            <w:pPr>
              <w:adjustRightInd w:val="0"/>
              <w:snapToGrid w:val="0"/>
              <w:spacing w:line="400" w:lineRule="exact"/>
              <w:ind w:right="-10"/>
              <w:rPr>
                <w:rFonts w:ascii="仿宋" w:hAnsi="仿宋" w:eastAsia="仿宋" w:cs="仿宋"/>
                <w:color w:val="000000"/>
                <w:sz w:val="24"/>
              </w:rPr>
            </w:pPr>
          </w:p>
        </w:tc>
        <w:tc>
          <w:tcPr>
            <w:tcW w:w="3442" w:type="dxa"/>
            <w:tcBorders>
              <w:bottom w:val="single" w:color="auto" w:sz="4" w:space="0"/>
            </w:tcBorders>
            <w:vAlign w:val="center"/>
          </w:tcPr>
          <w:p w14:paraId="041A5E05">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是否按照附件1提供</w:t>
            </w:r>
          </w:p>
        </w:tc>
      </w:tr>
      <w:tr w14:paraId="40051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0" w:type="auto"/>
            <w:vAlign w:val="center"/>
          </w:tcPr>
          <w:p w14:paraId="3E12DBD8">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2</w:t>
            </w:r>
          </w:p>
        </w:tc>
        <w:tc>
          <w:tcPr>
            <w:tcW w:w="2450" w:type="dxa"/>
            <w:vAlign w:val="center"/>
          </w:tcPr>
          <w:p w14:paraId="7488C1FD">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报价单</w:t>
            </w:r>
          </w:p>
        </w:tc>
        <w:tc>
          <w:tcPr>
            <w:tcW w:w="1340" w:type="dxa"/>
            <w:vAlign w:val="center"/>
          </w:tcPr>
          <w:p w14:paraId="3D86F38F">
            <w:pPr>
              <w:adjustRightInd w:val="0"/>
              <w:snapToGrid w:val="0"/>
              <w:spacing w:line="400" w:lineRule="exact"/>
              <w:ind w:right="-10"/>
              <w:rPr>
                <w:rFonts w:ascii="仿宋" w:hAnsi="仿宋" w:eastAsia="仿宋" w:cs="仿宋"/>
                <w:color w:val="000000"/>
                <w:sz w:val="24"/>
              </w:rPr>
            </w:pPr>
            <w:r>
              <w:rPr>
                <w:rFonts w:ascii="仿宋" w:hAnsi="仿宋" w:eastAsia="仿宋" w:cs="仿宋"/>
                <w:color w:val="000000"/>
                <w:sz w:val="24"/>
              </w:rPr>
              <w:t>≤</w:t>
            </w:r>
            <w:r>
              <w:rPr>
                <w:rFonts w:hint="eastAsia" w:ascii="仿宋" w:hAnsi="仿宋" w:eastAsia="仿宋" w:cs="仿宋"/>
                <w:color w:val="000000"/>
                <w:sz w:val="24"/>
              </w:rPr>
              <w:t>最高投标限价</w:t>
            </w:r>
          </w:p>
        </w:tc>
        <w:tc>
          <w:tcPr>
            <w:tcW w:w="793" w:type="dxa"/>
            <w:vAlign w:val="center"/>
          </w:tcPr>
          <w:p w14:paraId="7D3A771C">
            <w:pPr>
              <w:adjustRightInd w:val="0"/>
              <w:snapToGrid w:val="0"/>
              <w:spacing w:line="400" w:lineRule="exact"/>
              <w:ind w:right="-10"/>
              <w:rPr>
                <w:rFonts w:ascii="仿宋" w:hAnsi="仿宋" w:eastAsia="仿宋" w:cs="仿宋"/>
                <w:color w:val="000000"/>
                <w:sz w:val="24"/>
              </w:rPr>
            </w:pPr>
          </w:p>
        </w:tc>
        <w:tc>
          <w:tcPr>
            <w:tcW w:w="3442" w:type="dxa"/>
            <w:vAlign w:val="center"/>
          </w:tcPr>
          <w:p w14:paraId="46F855EC">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是否提供，且符合要求</w:t>
            </w:r>
          </w:p>
        </w:tc>
      </w:tr>
      <w:tr w14:paraId="1610D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0" w:type="auto"/>
            <w:vAlign w:val="center"/>
          </w:tcPr>
          <w:p w14:paraId="1E309537">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3</w:t>
            </w:r>
          </w:p>
        </w:tc>
        <w:tc>
          <w:tcPr>
            <w:tcW w:w="2450" w:type="dxa"/>
            <w:vAlign w:val="center"/>
          </w:tcPr>
          <w:p w14:paraId="48D922CA">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特种设备安装改造维修许可证</w:t>
            </w:r>
          </w:p>
        </w:tc>
        <w:tc>
          <w:tcPr>
            <w:tcW w:w="1340" w:type="dxa"/>
            <w:vAlign w:val="center"/>
          </w:tcPr>
          <w:p w14:paraId="4D1887FB">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在注册期限内</w:t>
            </w:r>
          </w:p>
        </w:tc>
        <w:tc>
          <w:tcPr>
            <w:tcW w:w="793" w:type="dxa"/>
            <w:vAlign w:val="center"/>
          </w:tcPr>
          <w:p w14:paraId="412597E7">
            <w:pPr>
              <w:adjustRightInd w:val="0"/>
              <w:snapToGrid w:val="0"/>
              <w:spacing w:line="400" w:lineRule="exact"/>
              <w:ind w:right="-10"/>
              <w:rPr>
                <w:rFonts w:ascii="仿宋" w:hAnsi="仿宋" w:eastAsia="仿宋" w:cs="仿宋"/>
                <w:color w:val="000000"/>
                <w:sz w:val="24"/>
              </w:rPr>
            </w:pPr>
          </w:p>
        </w:tc>
        <w:tc>
          <w:tcPr>
            <w:tcW w:w="3442" w:type="dxa"/>
            <w:vAlign w:val="center"/>
          </w:tcPr>
          <w:p w14:paraId="5A414C16">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提供特种《设备安装改造维修许可证》资质扫描件</w:t>
            </w:r>
          </w:p>
        </w:tc>
      </w:tr>
      <w:tr w14:paraId="4462B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0" w:type="auto"/>
            <w:vAlign w:val="center"/>
          </w:tcPr>
          <w:p w14:paraId="1F7AF0ED">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4</w:t>
            </w:r>
          </w:p>
        </w:tc>
        <w:tc>
          <w:tcPr>
            <w:tcW w:w="2450" w:type="dxa"/>
            <w:vAlign w:val="center"/>
          </w:tcPr>
          <w:p w14:paraId="4A798758">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授权委托书或法人身份证复印件</w:t>
            </w:r>
          </w:p>
        </w:tc>
        <w:tc>
          <w:tcPr>
            <w:tcW w:w="1340" w:type="dxa"/>
            <w:vAlign w:val="center"/>
          </w:tcPr>
          <w:p w14:paraId="334A0D3E">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是否提供</w:t>
            </w:r>
          </w:p>
        </w:tc>
        <w:tc>
          <w:tcPr>
            <w:tcW w:w="793" w:type="dxa"/>
            <w:vAlign w:val="center"/>
          </w:tcPr>
          <w:p w14:paraId="3AEAC7EF">
            <w:pPr>
              <w:adjustRightInd w:val="0"/>
              <w:snapToGrid w:val="0"/>
              <w:spacing w:line="400" w:lineRule="exact"/>
              <w:ind w:right="-10"/>
              <w:rPr>
                <w:rFonts w:ascii="仿宋" w:hAnsi="仿宋" w:eastAsia="仿宋" w:cs="仿宋"/>
                <w:color w:val="000000"/>
                <w:sz w:val="24"/>
              </w:rPr>
            </w:pPr>
          </w:p>
        </w:tc>
        <w:tc>
          <w:tcPr>
            <w:tcW w:w="3442" w:type="dxa"/>
            <w:vAlign w:val="center"/>
          </w:tcPr>
          <w:p w14:paraId="5C04EF71">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是否提供</w:t>
            </w:r>
          </w:p>
        </w:tc>
      </w:tr>
      <w:tr w14:paraId="2712B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0" w:type="auto"/>
            <w:vAlign w:val="center"/>
          </w:tcPr>
          <w:p w14:paraId="1A199C6E">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5</w:t>
            </w:r>
          </w:p>
        </w:tc>
        <w:tc>
          <w:tcPr>
            <w:tcW w:w="2450" w:type="dxa"/>
            <w:vAlign w:val="center"/>
          </w:tcPr>
          <w:p w14:paraId="6392D717">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lang w:val="zh-CN"/>
              </w:rPr>
              <w:t>无不良征信承诺书</w:t>
            </w:r>
          </w:p>
        </w:tc>
        <w:tc>
          <w:tcPr>
            <w:tcW w:w="1340" w:type="dxa"/>
            <w:vAlign w:val="center"/>
          </w:tcPr>
          <w:p w14:paraId="135270DD">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符合采购文件要求</w:t>
            </w:r>
          </w:p>
        </w:tc>
        <w:tc>
          <w:tcPr>
            <w:tcW w:w="793" w:type="dxa"/>
            <w:vAlign w:val="center"/>
          </w:tcPr>
          <w:p w14:paraId="5CC08A27">
            <w:pPr>
              <w:adjustRightInd w:val="0"/>
              <w:snapToGrid w:val="0"/>
              <w:spacing w:line="400" w:lineRule="exact"/>
              <w:ind w:right="-10"/>
              <w:rPr>
                <w:rFonts w:ascii="仿宋" w:hAnsi="仿宋" w:eastAsia="仿宋" w:cs="仿宋"/>
                <w:color w:val="000000"/>
                <w:sz w:val="24"/>
              </w:rPr>
            </w:pPr>
          </w:p>
        </w:tc>
        <w:tc>
          <w:tcPr>
            <w:tcW w:w="3442" w:type="dxa"/>
            <w:vAlign w:val="center"/>
          </w:tcPr>
          <w:p w14:paraId="6180D907">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是否按照附件7提供</w:t>
            </w:r>
          </w:p>
        </w:tc>
      </w:tr>
      <w:tr w14:paraId="130B5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0" w:type="auto"/>
            <w:vAlign w:val="center"/>
          </w:tcPr>
          <w:p w14:paraId="146C331F">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6</w:t>
            </w:r>
          </w:p>
        </w:tc>
        <w:tc>
          <w:tcPr>
            <w:tcW w:w="2450" w:type="dxa"/>
            <w:vAlign w:val="center"/>
          </w:tcPr>
          <w:p w14:paraId="15F1ED3A">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资格审核业绩：近三年（2022 年 1 月至今）至少完成过 1 个机械式停车设备年度维保项目</w:t>
            </w:r>
          </w:p>
        </w:tc>
        <w:tc>
          <w:tcPr>
            <w:tcW w:w="1340" w:type="dxa"/>
            <w:vAlign w:val="center"/>
          </w:tcPr>
          <w:p w14:paraId="7D26900D">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是否提供</w:t>
            </w:r>
          </w:p>
        </w:tc>
        <w:tc>
          <w:tcPr>
            <w:tcW w:w="793" w:type="dxa"/>
            <w:vAlign w:val="center"/>
          </w:tcPr>
          <w:p w14:paraId="4B713596">
            <w:pPr>
              <w:adjustRightInd w:val="0"/>
              <w:snapToGrid w:val="0"/>
              <w:spacing w:line="400" w:lineRule="exact"/>
              <w:ind w:right="-10"/>
              <w:rPr>
                <w:rFonts w:ascii="仿宋" w:hAnsi="仿宋" w:eastAsia="仿宋" w:cs="仿宋"/>
                <w:color w:val="000000"/>
                <w:sz w:val="24"/>
              </w:rPr>
            </w:pPr>
          </w:p>
        </w:tc>
        <w:tc>
          <w:tcPr>
            <w:tcW w:w="3442" w:type="dxa"/>
            <w:vAlign w:val="center"/>
          </w:tcPr>
          <w:p w14:paraId="5121A6DD">
            <w:pPr>
              <w:adjustRightInd w:val="0"/>
              <w:snapToGrid w:val="0"/>
              <w:spacing w:line="400" w:lineRule="exact"/>
              <w:ind w:right="-10"/>
              <w:rPr>
                <w:rFonts w:ascii="仿宋" w:hAnsi="仿宋" w:eastAsia="仿宋" w:cs="仿宋"/>
                <w:color w:val="000000"/>
                <w:sz w:val="24"/>
              </w:rPr>
            </w:pPr>
            <w:r>
              <w:rPr>
                <w:rFonts w:hint="eastAsia" w:ascii="仿宋" w:hAnsi="仿宋" w:eastAsia="仿宋" w:cs="仿宋"/>
                <w:color w:val="000000"/>
                <w:sz w:val="24"/>
              </w:rPr>
              <w:t xml:space="preserve">需提供维保合同关键页（含项目名称、金额、签字页）、至少一份维保记录（如月度巡检表）、至少一份服务报告（如季度或年度报告） </w:t>
            </w:r>
          </w:p>
        </w:tc>
      </w:tr>
      <w:tr w14:paraId="33905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0" w:type="auto"/>
            <w:gridSpan w:val="5"/>
            <w:vAlign w:val="center"/>
          </w:tcPr>
          <w:p w14:paraId="343A5807">
            <w:pPr>
              <w:pStyle w:val="5"/>
              <w:spacing w:before="139" w:line="400" w:lineRule="exact"/>
              <w:rPr>
                <w:rFonts w:ascii="仿宋" w:hAnsi="仿宋" w:eastAsia="仿宋" w:cs="仿宋"/>
                <w:color w:val="000000"/>
                <w:sz w:val="24"/>
              </w:rPr>
            </w:pPr>
            <w:r>
              <w:rPr>
                <w:rFonts w:hint="eastAsia" w:ascii="仿宋" w:hAnsi="仿宋" w:eastAsia="仿宋" w:cs="仿宋"/>
                <w:color w:val="000000"/>
                <w:sz w:val="24"/>
              </w:rPr>
              <w:t>评审指标通过标准：</w:t>
            </w:r>
          </w:p>
          <w:p w14:paraId="3D4FDDB5">
            <w:pPr>
              <w:pStyle w:val="5"/>
              <w:spacing w:before="139" w:line="360" w:lineRule="auto"/>
              <w:ind w:firstLine="480" w:firstLineChars="200"/>
              <w:rPr>
                <w:rFonts w:ascii="仿宋" w:hAnsi="仿宋" w:eastAsia="仿宋" w:cs="仿宋"/>
                <w:color w:val="000000"/>
                <w:sz w:val="24"/>
              </w:rPr>
            </w:pPr>
            <w:r>
              <w:rPr>
                <w:rFonts w:hint="eastAsia" w:ascii="仿宋" w:hAnsi="仿宋" w:eastAsia="仿宋" w:cs="仿宋"/>
                <w:color w:val="000000"/>
                <w:sz w:val="24"/>
              </w:rPr>
              <w:t>（1）资格审查采用定性方法，符合性评审，所有评审选项必须全部通过方为合格。</w:t>
            </w:r>
          </w:p>
          <w:p w14:paraId="3BF94870">
            <w:pPr>
              <w:adjustRightInd w:val="0"/>
              <w:snapToGrid w:val="0"/>
              <w:spacing w:line="360" w:lineRule="auto"/>
              <w:ind w:right="-10" w:firstLine="480" w:firstLineChars="200"/>
              <w:rPr>
                <w:rFonts w:ascii="仿宋" w:hAnsi="仿宋" w:eastAsia="仿宋" w:cs="仿宋"/>
                <w:color w:val="000000"/>
                <w:sz w:val="24"/>
              </w:rPr>
            </w:pPr>
            <w:r>
              <w:rPr>
                <w:rFonts w:hint="eastAsia" w:ascii="仿宋" w:hAnsi="仿宋" w:eastAsia="仿宋" w:cs="仿宋"/>
                <w:color w:val="000000"/>
                <w:sz w:val="24"/>
              </w:rPr>
              <w:t>评审委员会根据表中所列各项指标对投标人是否为有效标进行评审，未列入上表中的指标不得作为废标依据。符合评审指标通过标准的，为有效投标。未通过评审的投标人将不参与详细评审。</w:t>
            </w:r>
          </w:p>
          <w:p w14:paraId="655CC8CD">
            <w:pPr>
              <w:adjustRightInd w:val="0"/>
              <w:snapToGrid w:val="0"/>
              <w:spacing w:line="360" w:lineRule="auto"/>
              <w:ind w:firstLine="480" w:firstLineChars="200"/>
              <w:rPr>
                <w:rFonts w:ascii="仿宋" w:hAnsi="仿宋" w:eastAsia="仿宋" w:cs="仿宋"/>
                <w:color w:val="000000"/>
                <w:sz w:val="24"/>
              </w:rPr>
            </w:pPr>
            <w:r>
              <w:rPr>
                <w:rFonts w:hint="eastAsia" w:ascii="仿宋" w:hAnsi="仿宋" w:eastAsia="仿宋" w:cs="仿宋"/>
                <w:color w:val="000000"/>
                <w:sz w:val="24"/>
              </w:rPr>
              <w:t>（2）投标人提供的资料不全、不清楚、超出有效期等情况，将由评审委员会按照对投标人不利的解释去理解，由此产生的一切后果由投标人自行承担。</w:t>
            </w:r>
          </w:p>
        </w:tc>
      </w:tr>
    </w:tbl>
    <w:p w14:paraId="429AB863">
      <w:pPr>
        <w:pStyle w:val="3"/>
      </w:pPr>
    </w:p>
    <w:p w14:paraId="44A07393">
      <w:pPr>
        <w:pStyle w:val="3"/>
        <w:ind w:firstLine="562"/>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评审人员会签：</w:t>
      </w:r>
    </w:p>
    <w:p w14:paraId="5A7E9E6D">
      <w:pPr>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br w:type="page"/>
      </w:r>
    </w:p>
    <w:p w14:paraId="46909523">
      <w:pPr>
        <w:pStyle w:val="3"/>
        <w:ind w:firstLine="0" w:firstLineChars="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附件4</w:t>
      </w:r>
    </w:p>
    <w:p w14:paraId="33B63BE1">
      <w:pPr>
        <w:pStyle w:val="11"/>
        <w:widowControl/>
        <w:spacing w:beforeAutospacing="0" w:afterAutospacing="0" w:line="592" w:lineRule="exact"/>
        <w:jc w:val="center"/>
      </w:pPr>
      <w:r>
        <w:rPr>
          <w:rFonts w:hint="eastAsia" w:ascii="仿宋_GB2312" w:hAnsi="仿宋_GB2312" w:eastAsia="仿宋_GB2312" w:cs="仿宋_GB2312"/>
          <w:b/>
          <w:sz w:val="32"/>
          <w:szCs w:val="32"/>
          <w:lang w:bidi="ar"/>
        </w:rPr>
        <w:t>详细评审表</w:t>
      </w:r>
      <w:r>
        <w:t>（综合评分法时需要）</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15" w:type="dxa"/>
          <w:left w:w="15" w:type="dxa"/>
          <w:bottom w:w="15" w:type="dxa"/>
          <w:right w:w="15" w:type="dxa"/>
        </w:tblCellMar>
      </w:tblPr>
      <w:tblGrid>
        <w:gridCol w:w="1002"/>
        <w:gridCol w:w="825"/>
        <w:gridCol w:w="6102"/>
        <w:gridCol w:w="767"/>
      </w:tblGrid>
      <w:tr w14:paraId="00399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7123EA3F">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类别</w:t>
            </w:r>
          </w:p>
        </w:tc>
        <w:tc>
          <w:tcPr>
            <w:tcW w:w="0" w:type="auto"/>
            <w:shd w:val="clear" w:color="auto" w:fill="FFFFFF"/>
            <w:tcMar>
              <w:top w:w="90" w:type="dxa"/>
              <w:left w:w="195" w:type="dxa"/>
              <w:bottom w:w="90" w:type="dxa"/>
              <w:right w:w="195" w:type="dxa"/>
            </w:tcMar>
            <w:vAlign w:val="center"/>
          </w:tcPr>
          <w:p w14:paraId="09DE65FB">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指标</w:t>
            </w:r>
          </w:p>
        </w:tc>
        <w:tc>
          <w:tcPr>
            <w:tcW w:w="0" w:type="auto"/>
            <w:shd w:val="clear" w:color="auto" w:fill="FFFFFF"/>
            <w:tcMar>
              <w:top w:w="90" w:type="dxa"/>
              <w:left w:w="195" w:type="dxa"/>
              <w:bottom w:w="90" w:type="dxa"/>
              <w:right w:w="195" w:type="dxa"/>
            </w:tcMar>
            <w:vAlign w:val="center"/>
          </w:tcPr>
          <w:p w14:paraId="33FB01A9">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指标描述</w:t>
            </w:r>
          </w:p>
        </w:tc>
        <w:tc>
          <w:tcPr>
            <w:tcW w:w="0" w:type="auto"/>
            <w:shd w:val="clear" w:color="auto" w:fill="FFFFFF"/>
            <w:tcMar>
              <w:top w:w="90" w:type="dxa"/>
              <w:left w:w="195" w:type="dxa"/>
              <w:bottom w:w="90" w:type="dxa"/>
              <w:right w:w="195" w:type="dxa"/>
            </w:tcMar>
            <w:vAlign w:val="center"/>
          </w:tcPr>
          <w:p w14:paraId="3F7B8211">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分值</w:t>
            </w:r>
          </w:p>
        </w:tc>
      </w:tr>
      <w:tr w14:paraId="48D76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vMerge w:val="restart"/>
            <w:shd w:val="clear" w:color="auto" w:fill="FFFFFF"/>
            <w:tcMar>
              <w:top w:w="90" w:type="dxa"/>
              <w:left w:w="195" w:type="dxa"/>
              <w:bottom w:w="90" w:type="dxa"/>
              <w:right w:w="195" w:type="dxa"/>
            </w:tcMar>
            <w:vAlign w:val="center"/>
          </w:tcPr>
          <w:p w14:paraId="3DAB4BE7">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商务部分</w:t>
            </w:r>
          </w:p>
          <w:p w14:paraId="6F8BA8AB">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（35分）</w:t>
            </w:r>
          </w:p>
        </w:tc>
        <w:tc>
          <w:tcPr>
            <w:tcW w:w="0" w:type="auto"/>
            <w:shd w:val="clear" w:color="auto" w:fill="FFFFFF"/>
            <w:tcMar>
              <w:top w:w="90" w:type="dxa"/>
              <w:left w:w="195" w:type="dxa"/>
              <w:bottom w:w="90" w:type="dxa"/>
              <w:right w:w="195" w:type="dxa"/>
            </w:tcMar>
            <w:vAlign w:val="center"/>
          </w:tcPr>
          <w:p w14:paraId="5BD2A8D9">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业绩</w:t>
            </w:r>
          </w:p>
        </w:tc>
        <w:tc>
          <w:tcPr>
            <w:tcW w:w="0" w:type="auto"/>
            <w:shd w:val="clear" w:color="auto" w:fill="FFFFFF"/>
            <w:tcMar>
              <w:top w:w="90" w:type="dxa"/>
              <w:left w:w="195" w:type="dxa"/>
              <w:bottom w:w="90" w:type="dxa"/>
              <w:right w:w="195" w:type="dxa"/>
            </w:tcMar>
            <w:vAlign w:val="center"/>
          </w:tcPr>
          <w:p w14:paraId="3BA46912">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近三年（202</w:t>
            </w:r>
            <w:r>
              <w:rPr>
                <w:rFonts w:ascii="仿宋" w:hAnsi="仿宋" w:eastAsia="仿宋" w:cs="仿宋"/>
                <w:b/>
                <w:bCs/>
                <w:color w:val="000000"/>
                <w:kern w:val="0"/>
                <w:sz w:val="20"/>
                <w:szCs w:val="20"/>
                <w:lang w:bidi="ar"/>
              </w:rPr>
              <w:t>2</w:t>
            </w:r>
            <w:r>
              <w:rPr>
                <w:rFonts w:hint="eastAsia" w:ascii="仿宋" w:hAnsi="仿宋" w:eastAsia="仿宋" w:cs="仿宋"/>
                <w:b/>
                <w:bCs/>
                <w:color w:val="000000"/>
                <w:kern w:val="0"/>
                <w:sz w:val="20"/>
                <w:szCs w:val="20"/>
                <w:lang w:bidi="ar"/>
              </w:rPr>
              <w:t>年1月至今）每完成1个机械式停车设备年度维保项目得5分，最高15分。必须同时提供维保合同关键页（含项目名称、金额、签字页）、至少一份维保记录（如月度巡检表）、至少一份服务报告（如季度或年度报告）。缺任一项，该业绩不予认可</w:t>
            </w:r>
          </w:p>
        </w:tc>
        <w:tc>
          <w:tcPr>
            <w:tcW w:w="0" w:type="auto"/>
            <w:shd w:val="clear" w:color="auto" w:fill="FFFFFF"/>
            <w:tcMar>
              <w:top w:w="90" w:type="dxa"/>
              <w:left w:w="195" w:type="dxa"/>
              <w:bottom w:w="90" w:type="dxa"/>
              <w:right w:w="195" w:type="dxa"/>
            </w:tcMar>
            <w:vAlign w:val="center"/>
          </w:tcPr>
          <w:p w14:paraId="2D5FA205">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0～15分</w:t>
            </w:r>
          </w:p>
        </w:tc>
      </w:tr>
      <w:tr w14:paraId="3E114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vMerge w:val="continue"/>
            <w:shd w:val="clear" w:color="auto" w:fill="FFFFFF"/>
            <w:tcMar>
              <w:top w:w="90" w:type="dxa"/>
              <w:left w:w="195" w:type="dxa"/>
              <w:bottom w:w="90" w:type="dxa"/>
              <w:right w:w="195" w:type="dxa"/>
            </w:tcMar>
            <w:vAlign w:val="center"/>
          </w:tcPr>
          <w:p w14:paraId="09E7A374">
            <w:pPr>
              <w:widowControl/>
              <w:textAlignment w:val="center"/>
              <w:rPr>
                <w:rFonts w:ascii="仿宋" w:hAnsi="仿宋" w:eastAsia="仿宋" w:cs="仿宋"/>
                <w:b/>
                <w:bCs/>
                <w:color w:val="000000"/>
                <w:kern w:val="0"/>
                <w:sz w:val="20"/>
                <w:szCs w:val="20"/>
                <w:lang w:bidi="ar"/>
              </w:rPr>
            </w:pPr>
          </w:p>
        </w:tc>
        <w:tc>
          <w:tcPr>
            <w:tcW w:w="0" w:type="auto"/>
            <w:shd w:val="clear" w:color="auto" w:fill="FFFFFF"/>
            <w:tcMar>
              <w:top w:w="90" w:type="dxa"/>
              <w:left w:w="195" w:type="dxa"/>
              <w:bottom w:w="90" w:type="dxa"/>
              <w:right w:w="195" w:type="dxa"/>
            </w:tcMar>
            <w:vAlign w:val="center"/>
          </w:tcPr>
          <w:p w14:paraId="167640EE">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体系认证</w:t>
            </w:r>
          </w:p>
        </w:tc>
        <w:tc>
          <w:tcPr>
            <w:tcW w:w="0" w:type="auto"/>
            <w:shd w:val="clear" w:color="auto" w:fill="FFFFFF"/>
            <w:tcMar>
              <w:top w:w="90" w:type="dxa"/>
              <w:left w:w="195" w:type="dxa"/>
              <w:bottom w:w="90" w:type="dxa"/>
              <w:right w:w="195" w:type="dxa"/>
            </w:tcMar>
            <w:vAlign w:val="center"/>
          </w:tcPr>
          <w:p w14:paraId="51A5AF3F">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通过ISO 9001质量管理体系认证：得2分；通过ISO 14001环境管理体系认证：得2分；通过ISO 45001职业健康安全管理体系认证：得2分。可累计计分，最高6分。需提供有效期内证书复印件并加盖公章</w:t>
            </w:r>
          </w:p>
        </w:tc>
        <w:tc>
          <w:tcPr>
            <w:tcW w:w="0" w:type="auto"/>
            <w:shd w:val="clear" w:color="auto" w:fill="FFFFFF"/>
            <w:tcMar>
              <w:top w:w="90" w:type="dxa"/>
              <w:left w:w="195" w:type="dxa"/>
              <w:bottom w:w="90" w:type="dxa"/>
              <w:right w:w="195" w:type="dxa"/>
            </w:tcMar>
            <w:vAlign w:val="center"/>
          </w:tcPr>
          <w:p w14:paraId="5C40D3FC">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0～6分</w:t>
            </w:r>
          </w:p>
        </w:tc>
      </w:tr>
      <w:tr w14:paraId="4B683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vMerge w:val="continue"/>
            <w:shd w:val="clear" w:color="auto" w:fill="FFFFFF"/>
            <w:tcMar>
              <w:top w:w="90" w:type="dxa"/>
              <w:left w:w="195" w:type="dxa"/>
              <w:bottom w:w="90" w:type="dxa"/>
              <w:right w:w="195" w:type="dxa"/>
            </w:tcMar>
            <w:vAlign w:val="center"/>
          </w:tcPr>
          <w:p w14:paraId="38793021">
            <w:pPr>
              <w:widowControl/>
              <w:textAlignment w:val="center"/>
              <w:rPr>
                <w:rFonts w:ascii="仿宋" w:hAnsi="仿宋" w:eastAsia="仿宋" w:cs="仿宋"/>
                <w:b/>
                <w:bCs/>
                <w:color w:val="000000"/>
                <w:kern w:val="0"/>
                <w:sz w:val="20"/>
                <w:szCs w:val="20"/>
                <w:lang w:bidi="ar"/>
              </w:rPr>
            </w:pPr>
          </w:p>
        </w:tc>
        <w:tc>
          <w:tcPr>
            <w:tcW w:w="0" w:type="auto"/>
            <w:shd w:val="clear" w:color="auto" w:fill="FFFFFF"/>
            <w:tcMar>
              <w:top w:w="90" w:type="dxa"/>
              <w:left w:w="195" w:type="dxa"/>
              <w:bottom w:w="90" w:type="dxa"/>
              <w:right w:w="195" w:type="dxa"/>
            </w:tcMar>
            <w:vAlign w:val="center"/>
          </w:tcPr>
          <w:p w14:paraId="1C3825E0">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售后服务类荣誉</w:t>
            </w:r>
          </w:p>
        </w:tc>
        <w:tc>
          <w:tcPr>
            <w:tcW w:w="0" w:type="auto"/>
            <w:shd w:val="clear" w:color="auto" w:fill="FFFFFF"/>
            <w:tcMar>
              <w:top w:w="90" w:type="dxa"/>
              <w:left w:w="195" w:type="dxa"/>
              <w:bottom w:w="90" w:type="dxa"/>
              <w:right w:w="195" w:type="dxa"/>
            </w:tcMar>
            <w:vAlign w:val="center"/>
          </w:tcPr>
          <w:p w14:paraId="3111CB95">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国家级机构颁发（如全国售后服务十佳单位）：得4分</w:t>
            </w:r>
            <w:r>
              <w:rPr>
                <w:rFonts w:ascii="仿宋" w:hAnsi="仿宋" w:eastAsia="仿宋" w:cs="仿宋"/>
                <w:b/>
                <w:bCs/>
                <w:color w:val="000000"/>
                <w:kern w:val="0"/>
                <w:sz w:val="20"/>
                <w:szCs w:val="20"/>
                <w:lang w:bidi="ar"/>
              </w:rPr>
              <w:br w:type="textWrapping"/>
            </w:r>
            <w:r>
              <w:rPr>
                <w:rFonts w:ascii="仿宋" w:hAnsi="仿宋" w:eastAsia="仿宋" w:cs="仿宋"/>
                <w:b/>
                <w:bCs/>
                <w:color w:val="000000"/>
                <w:kern w:val="0"/>
                <w:sz w:val="20"/>
                <w:szCs w:val="20"/>
                <w:lang w:bidi="ar"/>
              </w:rPr>
              <w:t>省级机构颁发（如省级服务示范企业）：得3分</w:t>
            </w:r>
            <w:r>
              <w:rPr>
                <w:rFonts w:ascii="仿宋" w:hAnsi="仿宋" w:eastAsia="仿宋" w:cs="仿宋"/>
                <w:b/>
                <w:bCs/>
                <w:color w:val="000000"/>
                <w:kern w:val="0"/>
                <w:sz w:val="20"/>
                <w:szCs w:val="20"/>
                <w:lang w:bidi="ar"/>
              </w:rPr>
              <w:br w:type="textWrapping"/>
            </w:r>
            <w:r>
              <w:rPr>
                <w:rFonts w:ascii="仿宋" w:hAnsi="仿宋" w:eastAsia="仿宋" w:cs="仿宋"/>
                <w:b/>
                <w:bCs/>
                <w:color w:val="000000"/>
                <w:kern w:val="0"/>
                <w:sz w:val="20"/>
                <w:szCs w:val="20"/>
                <w:lang w:bidi="ar"/>
              </w:rPr>
              <w:t>市级机构颁发：得2分</w:t>
            </w:r>
            <w:r>
              <w:rPr>
                <w:rFonts w:ascii="仿宋" w:hAnsi="仿宋" w:eastAsia="仿宋" w:cs="仿宋"/>
                <w:b/>
                <w:bCs/>
                <w:color w:val="000000"/>
                <w:kern w:val="0"/>
                <w:sz w:val="20"/>
                <w:szCs w:val="20"/>
                <w:lang w:bidi="ar"/>
              </w:rPr>
              <w:br w:type="textWrapping"/>
            </w:r>
            <w:r>
              <w:rPr>
                <w:rFonts w:ascii="仿宋" w:hAnsi="仿宋" w:eastAsia="仿宋" w:cs="仿宋"/>
                <w:b/>
                <w:bCs/>
                <w:color w:val="000000"/>
                <w:kern w:val="0"/>
                <w:sz w:val="20"/>
                <w:szCs w:val="20"/>
                <w:lang w:bidi="ar"/>
              </w:rPr>
              <w:t>注：非政府/国家级协会奖项不得分；证书需在有效期内</w:t>
            </w:r>
          </w:p>
        </w:tc>
        <w:tc>
          <w:tcPr>
            <w:tcW w:w="0" w:type="auto"/>
            <w:shd w:val="clear" w:color="auto" w:fill="FFFFFF"/>
            <w:tcMar>
              <w:top w:w="90" w:type="dxa"/>
              <w:left w:w="195" w:type="dxa"/>
              <w:bottom w:w="90" w:type="dxa"/>
              <w:right w:w="195" w:type="dxa"/>
            </w:tcMar>
            <w:vAlign w:val="center"/>
          </w:tcPr>
          <w:p w14:paraId="12BBD85E">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0～4分</w:t>
            </w:r>
          </w:p>
        </w:tc>
      </w:tr>
      <w:tr w14:paraId="248AA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vMerge w:val="continue"/>
            <w:shd w:val="clear" w:color="auto" w:fill="FFFFFF"/>
            <w:tcMar>
              <w:top w:w="90" w:type="dxa"/>
              <w:left w:w="195" w:type="dxa"/>
              <w:bottom w:w="90" w:type="dxa"/>
              <w:right w:w="195" w:type="dxa"/>
            </w:tcMar>
            <w:vAlign w:val="center"/>
          </w:tcPr>
          <w:p w14:paraId="78B8F3A8">
            <w:pPr>
              <w:widowControl/>
              <w:textAlignment w:val="center"/>
              <w:rPr>
                <w:rFonts w:ascii="仿宋" w:hAnsi="仿宋" w:eastAsia="仿宋" w:cs="仿宋"/>
                <w:b/>
                <w:bCs/>
                <w:color w:val="000000"/>
                <w:kern w:val="0"/>
                <w:sz w:val="20"/>
                <w:szCs w:val="20"/>
                <w:lang w:bidi="ar"/>
              </w:rPr>
            </w:pPr>
          </w:p>
        </w:tc>
        <w:tc>
          <w:tcPr>
            <w:tcW w:w="0" w:type="auto"/>
            <w:shd w:val="clear" w:color="auto" w:fill="FFFFFF"/>
            <w:tcMar>
              <w:top w:w="90" w:type="dxa"/>
              <w:left w:w="195" w:type="dxa"/>
              <w:bottom w:w="90" w:type="dxa"/>
              <w:right w:w="195" w:type="dxa"/>
            </w:tcMar>
            <w:vAlign w:val="center"/>
          </w:tcPr>
          <w:p w14:paraId="6A6874AE">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维保人员团队配备</w:t>
            </w:r>
          </w:p>
        </w:tc>
        <w:tc>
          <w:tcPr>
            <w:tcW w:w="0" w:type="auto"/>
            <w:shd w:val="clear" w:color="auto" w:fill="FFFFFF"/>
            <w:tcMar>
              <w:top w:w="90" w:type="dxa"/>
              <w:left w:w="195" w:type="dxa"/>
              <w:bottom w:w="90" w:type="dxa"/>
              <w:right w:w="195" w:type="dxa"/>
            </w:tcMar>
            <w:vAlign w:val="center"/>
          </w:tcPr>
          <w:p w14:paraId="445132C5">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根据拟投入本项目的维保人员所持有效证书量化计分：特种设备作业人员证（机械式停车设备维修）：2分/人；高处作业证：2分/人；电工证（低压/高压电工作业）：2分/人；焊工证（特种作业操作证）：1分/人。同一人员不重复计分，取最高项。项目负责人或驻场工程师持有两类及以上证书，可额外加1分（最多加1分）。须提供身份证、证书复印件、近3个月社保证明或劳动合同。本项满分10分，超出按10分计</w:t>
            </w:r>
          </w:p>
        </w:tc>
        <w:tc>
          <w:tcPr>
            <w:tcW w:w="0" w:type="auto"/>
            <w:shd w:val="clear" w:color="auto" w:fill="FFFFFF"/>
            <w:tcMar>
              <w:top w:w="90" w:type="dxa"/>
              <w:left w:w="195" w:type="dxa"/>
              <w:bottom w:w="90" w:type="dxa"/>
              <w:right w:w="195" w:type="dxa"/>
            </w:tcMar>
            <w:vAlign w:val="center"/>
          </w:tcPr>
          <w:p w14:paraId="7A157732">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0～10分</w:t>
            </w:r>
          </w:p>
        </w:tc>
      </w:tr>
      <w:tr w14:paraId="6E394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vMerge w:val="restart"/>
            <w:shd w:val="clear" w:color="auto" w:fill="FFFFFF"/>
            <w:tcMar>
              <w:top w:w="90" w:type="dxa"/>
              <w:left w:w="195" w:type="dxa"/>
              <w:bottom w:w="90" w:type="dxa"/>
              <w:right w:w="195" w:type="dxa"/>
            </w:tcMar>
            <w:vAlign w:val="center"/>
          </w:tcPr>
          <w:p w14:paraId="76F0B42C">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技术部分（15分）</w:t>
            </w:r>
          </w:p>
          <w:p w14:paraId="0B3CE93C">
            <w:pPr>
              <w:widowControl/>
              <w:textAlignment w:val="center"/>
              <w:rPr>
                <w:rFonts w:ascii="仿宋" w:hAnsi="仿宋" w:eastAsia="仿宋" w:cs="仿宋"/>
                <w:b/>
                <w:bCs/>
                <w:color w:val="000000"/>
                <w:kern w:val="0"/>
                <w:sz w:val="20"/>
                <w:szCs w:val="20"/>
                <w:lang w:bidi="ar"/>
              </w:rPr>
            </w:pPr>
          </w:p>
        </w:tc>
        <w:tc>
          <w:tcPr>
            <w:tcW w:w="0" w:type="auto"/>
            <w:shd w:val="clear" w:color="auto" w:fill="FFFFFF"/>
            <w:tcMar>
              <w:top w:w="90" w:type="dxa"/>
              <w:left w:w="195" w:type="dxa"/>
              <w:bottom w:w="90" w:type="dxa"/>
              <w:right w:w="195" w:type="dxa"/>
            </w:tcMar>
            <w:vAlign w:val="center"/>
          </w:tcPr>
          <w:p w14:paraId="3ACC4FFB">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维保方案</w:t>
            </w:r>
          </w:p>
        </w:tc>
        <w:tc>
          <w:tcPr>
            <w:tcW w:w="0" w:type="auto"/>
            <w:shd w:val="clear" w:color="auto" w:fill="FFFFFF"/>
            <w:tcMar>
              <w:top w:w="90" w:type="dxa"/>
              <w:left w:w="195" w:type="dxa"/>
              <w:bottom w:w="90" w:type="dxa"/>
              <w:right w:w="195" w:type="dxa"/>
            </w:tcMar>
            <w:vAlign w:val="center"/>
          </w:tcPr>
          <w:p w14:paraId="4B2517F7">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根据投标人服务与维保方案的完整性、合理性等因素综合评审：优秀的（方案详尽、周期清晰、责任明确）：得4至5分；良好的（内容较全，但细节不足）：得</w:t>
            </w:r>
            <w:r>
              <w:rPr>
                <w:rFonts w:ascii="仿宋" w:hAnsi="仿宋" w:eastAsia="仿宋" w:cs="仿宋"/>
                <w:b/>
                <w:bCs/>
                <w:color w:val="000000"/>
                <w:kern w:val="0"/>
                <w:sz w:val="20"/>
                <w:szCs w:val="20"/>
                <w:lang w:bidi="ar"/>
              </w:rPr>
              <w:t>2</w:t>
            </w:r>
            <w:r>
              <w:rPr>
                <w:rFonts w:hint="eastAsia" w:ascii="仿宋" w:hAnsi="仿宋" w:eastAsia="仿宋" w:cs="仿宋"/>
                <w:b/>
                <w:bCs/>
                <w:color w:val="000000"/>
                <w:kern w:val="0"/>
                <w:sz w:val="20"/>
                <w:szCs w:val="20"/>
                <w:lang w:bidi="ar"/>
              </w:rPr>
              <w:t>至</w:t>
            </w:r>
            <w:r>
              <w:rPr>
                <w:rFonts w:ascii="仿宋" w:hAnsi="仿宋" w:eastAsia="仿宋" w:cs="仿宋"/>
                <w:b/>
                <w:bCs/>
                <w:color w:val="000000"/>
                <w:kern w:val="0"/>
                <w:sz w:val="20"/>
                <w:szCs w:val="20"/>
                <w:lang w:bidi="ar"/>
              </w:rPr>
              <w:t>3</w:t>
            </w:r>
            <w:r>
              <w:rPr>
                <w:rFonts w:hint="eastAsia" w:ascii="仿宋" w:hAnsi="仿宋" w:eastAsia="仿宋" w:cs="仿宋"/>
                <w:b/>
                <w:bCs/>
                <w:color w:val="000000"/>
                <w:kern w:val="0"/>
                <w:sz w:val="20"/>
                <w:szCs w:val="20"/>
                <w:lang w:bidi="ar"/>
              </w:rPr>
              <w:t>分；一般的（基本覆盖，缺乏可操作性）：得</w:t>
            </w:r>
            <w:r>
              <w:rPr>
                <w:rFonts w:ascii="仿宋" w:hAnsi="仿宋" w:eastAsia="仿宋" w:cs="仿宋"/>
                <w:b/>
                <w:bCs/>
                <w:color w:val="000000"/>
                <w:kern w:val="0"/>
                <w:sz w:val="20"/>
                <w:szCs w:val="20"/>
                <w:lang w:bidi="ar"/>
              </w:rPr>
              <w:t>1</w:t>
            </w:r>
            <w:r>
              <w:rPr>
                <w:rFonts w:hint="eastAsia" w:ascii="仿宋" w:hAnsi="仿宋" w:eastAsia="仿宋" w:cs="仿宋"/>
                <w:b/>
                <w:bCs/>
                <w:color w:val="000000"/>
                <w:kern w:val="0"/>
                <w:sz w:val="20"/>
                <w:szCs w:val="20"/>
                <w:lang w:bidi="ar"/>
              </w:rPr>
              <w:t>分；没有或不合理的：不得分</w:t>
            </w:r>
          </w:p>
        </w:tc>
        <w:tc>
          <w:tcPr>
            <w:tcW w:w="0" w:type="auto"/>
            <w:shd w:val="clear" w:color="auto" w:fill="FFFFFF"/>
            <w:tcMar>
              <w:top w:w="90" w:type="dxa"/>
              <w:left w:w="195" w:type="dxa"/>
              <w:bottom w:w="90" w:type="dxa"/>
              <w:right w:w="195" w:type="dxa"/>
            </w:tcMar>
            <w:vAlign w:val="center"/>
          </w:tcPr>
          <w:p w14:paraId="69153904">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0～5分</w:t>
            </w:r>
          </w:p>
        </w:tc>
      </w:tr>
      <w:tr w14:paraId="4E7EF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vMerge w:val="continue"/>
            <w:shd w:val="clear" w:color="auto" w:fill="FFFFFF"/>
            <w:tcMar>
              <w:top w:w="90" w:type="dxa"/>
              <w:left w:w="195" w:type="dxa"/>
              <w:bottom w:w="90" w:type="dxa"/>
              <w:right w:w="195" w:type="dxa"/>
            </w:tcMar>
            <w:vAlign w:val="center"/>
          </w:tcPr>
          <w:p w14:paraId="26D63CDA">
            <w:pPr>
              <w:widowControl/>
              <w:textAlignment w:val="center"/>
              <w:rPr>
                <w:rFonts w:ascii="仿宋" w:hAnsi="仿宋" w:eastAsia="仿宋" w:cs="仿宋"/>
                <w:b/>
                <w:bCs/>
                <w:color w:val="000000"/>
                <w:kern w:val="0"/>
                <w:sz w:val="20"/>
                <w:szCs w:val="20"/>
                <w:lang w:bidi="ar"/>
              </w:rPr>
            </w:pPr>
          </w:p>
        </w:tc>
        <w:tc>
          <w:tcPr>
            <w:tcW w:w="0" w:type="auto"/>
            <w:shd w:val="clear" w:color="auto" w:fill="FFFFFF"/>
            <w:tcMar>
              <w:top w:w="90" w:type="dxa"/>
              <w:left w:w="195" w:type="dxa"/>
              <w:bottom w:w="90" w:type="dxa"/>
              <w:right w:w="195" w:type="dxa"/>
            </w:tcMar>
            <w:vAlign w:val="center"/>
          </w:tcPr>
          <w:p w14:paraId="03E947BF">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应急处置能力</w:t>
            </w:r>
          </w:p>
        </w:tc>
        <w:tc>
          <w:tcPr>
            <w:tcW w:w="0" w:type="auto"/>
            <w:shd w:val="clear" w:color="auto" w:fill="FFFFFF"/>
            <w:tcMar>
              <w:top w:w="90" w:type="dxa"/>
              <w:left w:w="195" w:type="dxa"/>
              <w:bottom w:w="90" w:type="dxa"/>
              <w:right w:w="195" w:type="dxa"/>
            </w:tcMar>
            <w:vAlign w:val="center"/>
          </w:tcPr>
          <w:p w14:paraId="277227FB">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根据紧急故障处理预案及车主保障措施综合评审：能提供备用车辆调度方案，或承诺交通费提前支付（无需车主垫付）：得8至10分；能提供交通费事后报销机制（标准明确，如打车费上限100元/次）：得4至7分；预案不完整或无实质性保障措施：得1至3分；未提供应急预案或完全不可行：得0分</w:t>
            </w:r>
          </w:p>
        </w:tc>
        <w:tc>
          <w:tcPr>
            <w:tcW w:w="0" w:type="auto"/>
            <w:shd w:val="clear" w:color="auto" w:fill="FFFFFF"/>
            <w:tcMar>
              <w:top w:w="90" w:type="dxa"/>
              <w:left w:w="195" w:type="dxa"/>
              <w:bottom w:w="90" w:type="dxa"/>
              <w:right w:w="195" w:type="dxa"/>
            </w:tcMar>
            <w:vAlign w:val="center"/>
          </w:tcPr>
          <w:p w14:paraId="6174877F">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0～10分</w:t>
            </w:r>
          </w:p>
        </w:tc>
      </w:tr>
      <w:tr w14:paraId="12D4D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23" w:hRule="atLeast"/>
        </w:trPr>
        <w:tc>
          <w:tcPr>
            <w:tcW w:w="0" w:type="auto"/>
            <w:shd w:val="clear" w:color="auto" w:fill="FFFFFF"/>
            <w:tcMar>
              <w:top w:w="90" w:type="dxa"/>
              <w:left w:w="195" w:type="dxa"/>
              <w:bottom w:w="90" w:type="dxa"/>
              <w:right w:w="195" w:type="dxa"/>
            </w:tcMar>
            <w:vAlign w:val="center"/>
          </w:tcPr>
          <w:p w14:paraId="7921C449">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价格部分</w:t>
            </w:r>
          </w:p>
        </w:tc>
        <w:tc>
          <w:tcPr>
            <w:tcW w:w="0" w:type="auto"/>
            <w:shd w:val="clear" w:color="auto" w:fill="FFFFFF"/>
            <w:tcMar>
              <w:top w:w="90" w:type="dxa"/>
              <w:left w:w="195" w:type="dxa"/>
              <w:bottom w:w="90" w:type="dxa"/>
              <w:right w:w="195" w:type="dxa"/>
            </w:tcMar>
            <w:vAlign w:val="center"/>
          </w:tcPr>
          <w:p w14:paraId="1F742DF1">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投标报价</w:t>
            </w:r>
          </w:p>
        </w:tc>
        <w:tc>
          <w:tcPr>
            <w:tcW w:w="0" w:type="auto"/>
            <w:shd w:val="clear" w:color="auto" w:fill="FFFFFF"/>
            <w:tcMar>
              <w:top w:w="90" w:type="dxa"/>
              <w:left w:w="195" w:type="dxa"/>
              <w:bottom w:w="90" w:type="dxa"/>
              <w:right w:w="195" w:type="dxa"/>
            </w:tcMar>
            <w:vAlign w:val="center"/>
          </w:tcPr>
          <w:p w14:paraId="47132F1F">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满足预算要求（≤10万元）为有效报价；采用低价优先法计算：得分 = （最低有效报价 / 投标报价）× 50，计算结果保留两位小数</w:t>
            </w:r>
          </w:p>
        </w:tc>
        <w:tc>
          <w:tcPr>
            <w:tcW w:w="0" w:type="auto"/>
            <w:shd w:val="clear" w:color="auto" w:fill="FFFFFF"/>
            <w:tcMar>
              <w:top w:w="90" w:type="dxa"/>
              <w:left w:w="195" w:type="dxa"/>
              <w:bottom w:w="90" w:type="dxa"/>
              <w:right w:w="195" w:type="dxa"/>
            </w:tcMar>
            <w:vAlign w:val="center"/>
          </w:tcPr>
          <w:p w14:paraId="4603976C">
            <w:pPr>
              <w:widowControl/>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0～50分</w:t>
            </w:r>
          </w:p>
        </w:tc>
      </w:tr>
    </w:tbl>
    <w:p w14:paraId="0A6CD387"/>
    <w:p w14:paraId="4FE2C71F">
      <w:pPr>
        <w:rPr>
          <w:rFonts w:ascii="仿宋_GB2312" w:eastAsia="仿宋_GB2312"/>
          <w:sz w:val="28"/>
          <w:szCs w:val="28"/>
        </w:rPr>
      </w:pPr>
      <w:r>
        <w:rPr>
          <w:rFonts w:hint="eastAsia" w:ascii="仿宋_GB2312" w:eastAsia="仿宋_GB2312"/>
          <w:sz w:val="32"/>
          <w:szCs w:val="32"/>
        </w:rPr>
        <w:br w:type="page"/>
      </w:r>
      <w:r>
        <w:rPr>
          <w:rFonts w:hint="eastAsia" w:ascii="仿宋_GB2312" w:eastAsia="仿宋_GB2312"/>
          <w:sz w:val="28"/>
          <w:szCs w:val="28"/>
        </w:rPr>
        <w:t>附件5</w:t>
      </w:r>
    </w:p>
    <w:p w14:paraId="49FDDD6F">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2B24B7C1">
      <w:pPr>
        <w:spacing w:line="360" w:lineRule="auto"/>
        <w:ind w:firstLine="562" w:firstLineChars="200"/>
        <w:rPr>
          <w:rFonts w:ascii="Calibri" w:hAnsi="Calibri" w:eastAsia="仿宋" w:cs="Times New Roman"/>
          <w:b/>
          <w:sz w:val="28"/>
          <w:szCs w:val="28"/>
        </w:rPr>
      </w:pPr>
    </w:p>
    <w:p w14:paraId="3AAA2514">
      <w:pPr>
        <w:ind w:firstLine="560" w:firstLineChars="200"/>
        <w:rPr>
          <w:rFonts w:ascii="仿宋_GB2312" w:eastAsia="仿宋_GB2312"/>
          <w:sz w:val="28"/>
          <w:szCs w:val="28"/>
        </w:rPr>
      </w:pPr>
      <w:r>
        <w:rPr>
          <w:rFonts w:hint="eastAsia" w:ascii="仿宋_GB2312" w:eastAsia="仿宋_GB2312"/>
          <w:sz w:val="28"/>
          <w:szCs w:val="28"/>
        </w:rPr>
        <w:t>本人</w:t>
      </w:r>
      <w:r>
        <w:rPr>
          <w:rFonts w:hint="eastAsia" w:ascii="仿宋_GB2312" w:eastAsia="仿宋_GB2312"/>
          <w:sz w:val="28"/>
          <w:szCs w:val="28"/>
          <w:u w:val="single"/>
        </w:rPr>
        <w:t xml:space="preserve">      </w:t>
      </w:r>
      <w:r>
        <w:rPr>
          <w:rFonts w:hint="eastAsia" w:ascii="仿宋_GB2312" w:eastAsia="仿宋_GB2312"/>
          <w:sz w:val="28"/>
          <w:szCs w:val="28"/>
        </w:rPr>
        <w:t>（姓名）系</w:t>
      </w:r>
      <w:r>
        <w:rPr>
          <w:rFonts w:hint="eastAsia" w:ascii="仿宋_GB2312" w:eastAsia="仿宋_GB2312"/>
          <w:sz w:val="28"/>
          <w:szCs w:val="28"/>
          <w:u w:val="single"/>
        </w:rPr>
        <w:t xml:space="preserve">               </w:t>
      </w:r>
      <w:r>
        <w:rPr>
          <w:rFonts w:hint="eastAsia" w:ascii="仿宋_GB2312" w:eastAsia="仿宋_GB2312"/>
          <w:sz w:val="28"/>
          <w:szCs w:val="28"/>
        </w:rPr>
        <w:t>（投标人名称）的法定代表人，现委托</w:t>
      </w:r>
      <w:r>
        <w:rPr>
          <w:rFonts w:hint="eastAsia" w:ascii="仿宋_GB2312" w:eastAsia="仿宋_GB2312"/>
          <w:sz w:val="28"/>
          <w:szCs w:val="28"/>
          <w:u w:val="single"/>
        </w:rPr>
        <w:t xml:space="preserve">       </w:t>
      </w:r>
      <w:r>
        <w:rPr>
          <w:rFonts w:hint="eastAsia" w:ascii="仿宋_GB2312" w:eastAsia="仿宋_GB2312"/>
          <w:sz w:val="28"/>
          <w:szCs w:val="28"/>
        </w:rPr>
        <w:t xml:space="preserve">（姓名）， </w:t>
      </w:r>
      <w:r>
        <w:rPr>
          <w:rFonts w:hint="eastAsia" w:ascii="仿宋_GB2312" w:eastAsia="仿宋_GB2312"/>
          <w:sz w:val="28"/>
          <w:szCs w:val="28"/>
          <w:u w:val="single"/>
        </w:rPr>
        <w:t xml:space="preserve">               </w:t>
      </w:r>
      <w:r>
        <w:rPr>
          <w:rFonts w:hint="eastAsia" w:ascii="仿宋_GB2312" w:eastAsia="仿宋_GB2312"/>
          <w:sz w:val="28"/>
          <w:szCs w:val="28"/>
        </w:rPr>
        <w:t>（身份证号）为我方代理人。代理人根据授权，我方名义签署、澄清、说明、补正、递交、撤回、修改                                      （项目名称）的投标文件，其法律后果由我方承担。</w:t>
      </w:r>
    </w:p>
    <w:p w14:paraId="2C5D526C">
      <w:pPr>
        <w:ind w:firstLine="560" w:firstLineChars="200"/>
        <w:rPr>
          <w:rFonts w:ascii="仿宋_GB2312" w:eastAsia="仿宋_GB2312"/>
          <w:sz w:val="28"/>
          <w:szCs w:val="28"/>
        </w:rPr>
      </w:pPr>
      <w:r>
        <w:rPr>
          <w:rFonts w:hint="eastAsia" w:ascii="仿宋_GB2312" w:eastAsia="仿宋_GB2312"/>
          <w:sz w:val="28"/>
          <w:szCs w:val="28"/>
        </w:rPr>
        <w:t>委托期限:</w:t>
      </w:r>
    </w:p>
    <w:p w14:paraId="132FD121">
      <w:pPr>
        <w:ind w:firstLine="560" w:firstLineChars="200"/>
        <w:rPr>
          <w:rFonts w:ascii="仿宋_GB2312" w:eastAsia="仿宋_GB2312"/>
          <w:sz w:val="28"/>
          <w:szCs w:val="28"/>
        </w:rPr>
      </w:pPr>
      <w:r>
        <w:rPr>
          <w:rFonts w:hint="eastAsia" w:ascii="仿宋_GB2312" w:eastAsia="仿宋_GB2312"/>
          <w:sz w:val="28"/>
          <w:szCs w:val="28"/>
        </w:rPr>
        <w:t>代理人无转委托权。</w:t>
      </w:r>
    </w:p>
    <w:p w14:paraId="2C7694F0">
      <w:pPr>
        <w:ind w:firstLine="560" w:firstLineChars="200"/>
        <w:rPr>
          <w:rFonts w:ascii="仿宋_GB2312" w:eastAsia="仿宋_GB2312"/>
          <w:sz w:val="28"/>
          <w:szCs w:val="28"/>
        </w:rPr>
      </w:pPr>
      <w:r>
        <w:rPr>
          <w:rFonts w:hint="eastAsia" w:ascii="仿宋_GB2312" w:eastAsia="仿宋_GB2312"/>
          <w:sz w:val="28"/>
          <w:szCs w:val="28"/>
        </w:rPr>
        <w:t>附：法定代表人证明书</w:t>
      </w:r>
    </w:p>
    <w:p w14:paraId="5C3C8CA2">
      <w:pPr>
        <w:ind w:firstLine="560" w:firstLineChars="200"/>
        <w:rPr>
          <w:rFonts w:ascii="仿宋_GB2312" w:eastAsia="仿宋_GB2312"/>
          <w:sz w:val="28"/>
          <w:szCs w:val="28"/>
        </w:rPr>
      </w:pPr>
    </w:p>
    <w:p w14:paraId="19EC0DB4">
      <w:pPr>
        <w:ind w:firstLine="560" w:firstLineChars="200"/>
        <w:rPr>
          <w:rFonts w:ascii="仿宋_GB2312" w:eastAsia="仿宋_GB2312"/>
          <w:sz w:val="28"/>
          <w:szCs w:val="28"/>
        </w:rPr>
      </w:pPr>
    </w:p>
    <w:p w14:paraId="0FD6669E">
      <w:pPr>
        <w:ind w:firstLine="560" w:firstLineChars="200"/>
        <w:jc w:val="left"/>
        <w:rPr>
          <w:rFonts w:ascii="仿宋_GB2312" w:eastAsia="仿宋_GB2312"/>
          <w:sz w:val="28"/>
          <w:szCs w:val="28"/>
        </w:rPr>
      </w:pPr>
      <w:r>
        <w:rPr>
          <w:rFonts w:hint="eastAsia" w:ascii="仿宋_GB2312" w:eastAsia="仿宋_GB2312"/>
          <w:sz w:val="28"/>
          <w:szCs w:val="28"/>
        </w:rPr>
        <w:t>投标人：（单位盖章）</w:t>
      </w:r>
    </w:p>
    <w:p w14:paraId="2F2B8607">
      <w:pPr>
        <w:ind w:firstLine="560" w:firstLineChars="200"/>
        <w:jc w:val="left"/>
        <w:rPr>
          <w:rFonts w:ascii="仿宋_GB2312" w:eastAsia="仿宋_GB2312"/>
          <w:sz w:val="28"/>
          <w:szCs w:val="28"/>
        </w:rPr>
      </w:pPr>
      <w:r>
        <w:rPr>
          <w:rFonts w:hint="eastAsia" w:ascii="仿宋_GB2312" w:eastAsia="仿宋_GB2312"/>
          <w:sz w:val="28"/>
          <w:szCs w:val="28"/>
        </w:rPr>
        <w:t>法定代表人：（签字）</w:t>
      </w:r>
    </w:p>
    <w:p w14:paraId="33C19116">
      <w:pPr>
        <w:ind w:firstLine="560" w:firstLineChars="200"/>
        <w:jc w:val="left"/>
        <w:rPr>
          <w:rFonts w:ascii="仿宋_GB2312" w:eastAsia="仿宋_GB2312"/>
          <w:sz w:val="28"/>
          <w:szCs w:val="28"/>
        </w:rPr>
      </w:pPr>
      <w:r>
        <w:rPr>
          <w:rFonts w:hint="eastAsia" w:ascii="仿宋_GB2312" w:eastAsia="仿宋_GB2312"/>
          <w:sz w:val="28"/>
          <w:szCs w:val="28"/>
        </w:rPr>
        <w:t>身份证号码：</w:t>
      </w:r>
    </w:p>
    <w:p w14:paraId="23E7CAF7">
      <w:pPr>
        <w:ind w:firstLine="560" w:firstLineChars="200"/>
        <w:jc w:val="left"/>
        <w:rPr>
          <w:rFonts w:ascii="仿宋_GB2312" w:eastAsia="仿宋_GB2312"/>
          <w:sz w:val="28"/>
          <w:szCs w:val="28"/>
        </w:rPr>
      </w:pPr>
      <w:r>
        <w:rPr>
          <w:rFonts w:hint="eastAsia" w:ascii="仿宋_GB2312" w:eastAsia="仿宋_GB2312"/>
          <w:sz w:val="28"/>
          <w:szCs w:val="28"/>
        </w:rPr>
        <w:t>委托代理人：（签字）</w:t>
      </w:r>
    </w:p>
    <w:p w14:paraId="0E6234A2">
      <w:pPr>
        <w:ind w:firstLine="560" w:firstLineChars="200"/>
        <w:jc w:val="left"/>
        <w:rPr>
          <w:rFonts w:ascii="仿宋_GB2312" w:eastAsia="仿宋_GB2312"/>
          <w:sz w:val="28"/>
          <w:szCs w:val="28"/>
        </w:rPr>
      </w:pPr>
      <w:r>
        <w:rPr>
          <w:rFonts w:hint="eastAsia" w:ascii="仿宋_GB2312" w:eastAsia="仿宋_GB2312"/>
          <w:sz w:val="28"/>
          <w:szCs w:val="28"/>
        </w:rPr>
        <w:t>身份证号码：</w:t>
      </w:r>
    </w:p>
    <w:p w14:paraId="6889E897">
      <w:pPr>
        <w:ind w:firstLine="560" w:firstLineChars="200"/>
        <w:jc w:val="left"/>
        <w:rPr>
          <w:rFonts w:ascii="仿宋_GB2312" w:eastAsia="仿宋_GB2312"/>
          <w:sz w:val="28"/>
          <w:szCs w:val="28"/>
        </w:rPr>
      </w:pPr>
      <w:r>
        <w:rPr>
          <w:rFonts w:hint="eastAsia" w:ascii="仿宋_GB2312" w:eastAsia="仿宋_GB2312"/>
          <w:sz w:val="28"/>
          <w:szCs w:val="28"/>
        </w:rPr>
        <w:t>年    月    日</w:t>
      </w:r>
    </w:p>
    <w:p w14:paraId="0DACDC79">
      <w:pPr>
        <w:ind w:firstLine="560" w:firstLineChars="200"/>
        <w:rPr>
          <w:rFonts w:ascii="仿宋_GB2312" w:eastAsia="仿宋_GB2312"/>
          <w:sz w:val="28"/>
          <w:szCs w:val="28"/>
        </w:rPr>
      </w:pPr>
    </w:p>
    <w:p w14:paraId="3B92CBD9">
      <w:pPr>
        <w:ind w:firstLine="560" w:firstLineChars="200"/>
        <w:rPr>
          <w:rFonts w:ascii="仿宋_GB2312" w:eastAsia="仿宋_GB2312"/>
          <w:sz w:val="28"/>
          <w:szCs w:val="28"/>
        </w:rPr>
      </w:pPr>
      <w:r>
        <w:rPr>
          <w:rFonts w:hint="eastAsia" w:ascii="仿宋_GB2312" w:eastAsia="仿宋_GB2312"/>
          <w:sz w:val="28"/>
          <w:szCs w:val="28"/>
        </w:rPr>
        <w:t>注：法定代表人</w:t>
      </w:r>
      <w:r>
        <w:rPr>
          <w:rFonts w:ascii="仿宋_GB2312" w:eastAsia="仿宋_GB2312"/>
          <w:sz w:val="28"/>
          <w:szCs w:val="28"/>
        </w:rPr>
        <w:t>参加询价的无需提供授权书，仅提供身份证明扫描件</w:t>
      </w:r>
      <w:r>
        <w:rPr>
          <w:rFonts w:hint="eastAsia" w:ascii="仿宋_GB2312" w:eastAsia="仿宋_GB2312"/>
          <w:sz w:val="28"/>
          <w:szCs w:val="28"/>
        </w:rPr>
        <w:t>。</w:t>
      </w:r>
    </w:p>
    <w:p w14:paraId="09A31F06">
      <w:pPr>
        <w:rPr>
          <w:rFonts w:ascii="仿宋_GB2312" w:eastAsia="仿宋_GB2312"/>
          <w:sz w:val="32"/>
          <w:szCs w:val="32"/>
        </w:rPr>
      </w:pPr>
      <w:r>
        <w:rPr>
          <w:rFonts w:hint="eastAsia" w:ascii="仿宋_GB2312" w:eastAsia="仿宋_GB2312"/>
          <w:sz w:val="32"/>
          <w:szCs w:val="32"/>
        </w:rPr>
        <w:t>附件6</w:t>
      </w:r>
    </w:p>
    <w:p w14:paraId="51E9DED4">
      <w:pPr>
        <w:ind w:firstLine="723" w:firstLineChars="200"/>
        <w:jc w:val="center"/>
        <w:rPr>
          <w:rFonts w:ascii="宋体" w:hAnsi="宋体" w:eastAsia="宋体" w:cs="宋体"/>
          <w:b/>
          <w:bCs/>
          <w:sz w:val="36"/>
          <w:szCs w:val="36"/>
          <w:lang w:val="zh-CN"/>
        </w:rPr>
      </w:pPr>
      <w:bookmarkStart w:id="1" w:name="_Toc196814781"/>
      <w:r>
        <w:rPr>
          <w:rFonts w:hint="eastAsia" w:ascii="宋体" w:hAnsi="宋体" w:eastAsia="宋体" w:cs="宋体"/>
          <w:b/>
          <w:bCs/>
          <w:sz w:val="36"/>
          <w:szCs w:val="36"/>
          <w:lang w:val="zh-CN"/>
        </w:rPr>
        <w:t>拟投入本项目人员情况一览表</w:t>
      </w:r>
      <w:bookmarkEnd w:id="1"/>
    </w:p>
    <w:tbl>
      <w:tblPr>
        <w:tblStyle w:val="15"/>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5A2E4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141646F5">
            <w:pPr>
              <w:spacing w:line="600" w:lineRule="exact"/>
              <w:rPr>
                <w:rFonts w:ascii="宋体" w:hAnsi="宋体"/>
                <w:b/>
                <w:bCs/>
                <w:iCs/>
                <w:sz w:val="25"/>
                <w:szCs w:val="25"/>
              </w:rPr>
            </w:pPr>
            <w:r>
              <w:rPr>
                <w:rFonts w:ascii="宋体" w:hAnsi="宋体"/>
                <w:b/>
                <w:bCs/>
                <w:iCs/>
                <w:sz w:val="25"/>
                <w:szCs w:val="25"/>
              </w:rPr>
              <w:t>序号</w:t>
            </w:r>
          </w:p>
        </w:tc>
        <w:tc>
          <w:tcPr>
            <w:tcW w:w="1318" w:type="dxa"/>
            <w:vAlign w:val="center"/>
          </w:tcPr>
          <w:p w14:paraId="35ACD39C">
            <w:pPr>
              <w:spacing w:line="600" w:lineRule="exact"/>
              <w:rPr>
                <w:rFonts w:ascii="宋体" w:hAnsi="宋体"/>
                <w:b/>
                <w:bCs/>
                <w:iCs/>
                <w:sz w:val="25"/>
                <w:szCs w:val="25"/>
              </w:rPr>
            </w:pPr>
            <w:r>
              <w:rPr>
                <w:rFonts w:ascii="宋体" w:hAnsi="宋体"/>
                <w:b/>
                <w:bCs/>
                <w:iCs/>
                <w:sz w:val="25"/>
                <w:szCs w:val="25"/>
              </w:rPr>
              <w:t>姓 名</w:t>
            </w:r>
          </w:p>
        </w:tc>
        <w:tc>
          <w:tcPr>
            <w:tcW w:w="842" w:type="dxa"/>
            <w:vAlign w:val="center"/>
          </w:tcPr>
          <w:p w14:paraId="423EE0C3">
            <w:pPr>
              <w:spacing w:line="600" w:lineRule="exact"/>
              <w:rPr>
                <w:rFonts w:ascii="宋体" w:hAnsi="宋体"/>
                <w:b/>
                <w:bCs/>
                <w:iCs/>
                <w:sz w:val="25"/>
                <w:szCs w:val="25"/>
              </w:rPr>
            </w:pPr>
            <w:r>
              <w:rPr>
                <w:rFonts w:ascii="宋体" w:hAnsi="宋体"/>
                <w:b/>
                <w:bCs/>
                <w:iCs/>
                <w:sz w:val="25"/>
                <w:szCs w:val="25"/>
              </w:rPr>
              <w:t>年龄</w:t>
            </w:r>
          </w:p>
        </w:tc>
        <w:tc>
          <w:tcPr>
            <w:tcW w:w="816" w:type="dxa"/>
            <w:vAlign w:val="center"/>
          </w:tcPr>
          <w:p w14:paraId="0141718F">
            <w:pPr>
              <w:spacing w:line="600" w:lineRule="exact"/>
              <w:rPr>
                <w:rFonts w:ascii="宋体" w:hAnsi="宋体"/>
                <w:b/>
                <w:bCs/>
                <w:iCs/>
                <w:sz w:val="25"/>
                <w:szCs w:val="25"/>
              </w:rPr>
            </w:pPr>
            <w:r>
              <w:rPr>
                <w:rFonts w:ascii="宋体" w:hAnsi="宋体"/>
                <w:b/>
                <w:bCs/>
                <w:iCs/>
                <w:sz w:val="25"/>
                <w:szCs w:val="25"/>
              </w:rPr>
              <w:t>性别</w:t>
            </w:r>
          </w:p>
        </w:tc>
        <w:tc>
          <w:tcPr>
            <w:tcW w:w="984" w:type="dxa"/>
            <w:vAlign w:val="center"/>
          </w:tcPr>
          <w:p w14:paraId="46AE30D3">
            <w:pPr>
              <w:spacing w:line="600" w:lineRule="exact"/>
              <w:rPr>
                <w:rFonts w:ascii="宋体" w:hAnsi="宋体"/>
                <w:b/>
                <w:bCs/>
                <w:iCs/>
                <w:sz w:val="25"/>
                <w:szCs w:val="25"/>
              </w:rPr>
            </w:pPr>
            <w:r>
              <w:rPr>
                <w:rFonts w:ascii="宋体" w:hAnsi="宋体"/>
                <w:b/>
                <w:bCs/>
                <w:iCs/>
                <w:sz w:val="25"/>
                <w:szCs w:val="25"/>
              </w:rPr>
              <w:t>学 历</w:t>
            </w:r>
          </w:p>
        </w:tc>
        <w:tc>
          <w:tcPr>
            <w:tcW w:w="816" w:type="dxa"/>
            <w:vAlign w:val="center"/>
          </w:tcPr>
          <w:p w14:paraId="2393D922">
            <w:pPr>
              <w:spacing w:line="600" w:lineRule="exact"/>
              <w:rPr>
                <w:rFonts w:ascii="宋体" w:hAnsi="宋体"/>
                <w:b/>
                <w:bCs/>
                <w:iCs/>
                <w:sz w:val="25"/>
                <w:szCs w:val="25"/>
              </w:rPr>
            </w:pPr>
            <w:r>
              <w:rPr>
                <w:rFonts w:ascii="宋体" w:hAnsi="宋体"/>
                <w:b/>
                <w:bCs/>
                <w:iCs/>
                <w:sz w:val="25"/>
                <w:szCs w:val="25"/>
              </w:rPr>
              <w:t>专业</w:t>
            </w:r>
          </w:p>
        </w:tc>
        <w:tc>
          <w:tcPr>
            <w:tcW w:w="1582" w:type="dxa"/>
            <w:vAlign w:val="center"/>
          </w:tcPr>
          <w:p w14:paraId="79FDC16B">
            <w:pPr>
              <w:spacing w:line="600" w:lineRule="exact"/>
              <w:rPr>
                <w:rFonts w:ascii="宋体" w:hAnsi="宋体"/>
                <w:b/>
                <w:bCs/>
                <w:iCs/>
                <w:sz w:val="25"/>
                <w:szCs w:val="25"/>
              </w:rPr>
            </w:pPr>
            <w:r>
              <w:rPr>
                <w:rFonts w:ascii="宋体" w:hAnsi="宋体"/>
                <w:b/>
                <w:bCs/>
                <w:iCs/>
                <w:sz w:val="25"/>
                <w:szCs w:val="25"/>
              </w:rPr>
              <w:t>职称或</w:t>
            </w:r>
          </w:p>
          <w:p w14:paraId="16F21E6F">
            <w:pPr>
              <w:spacing w:line="600" w:lineRule="exact"/>
              <w:rPr>
                <w:rFonts w:ascii="宋体" w:hAnsi="宋体"/>
                <w:b/>
                <w:bCs/>
                <w:iCs/>
                <w:sz w:val="25"/>
                <w:szCs w:val="25"/>
              </w:rPr>
            </w:pPr>
            <w:r>
              <w:rPr>
                <w:rFonts w:ascii="宋体" w:hAnsi="宋体"/>
                <w:b/>
                <w:bCs/>
                <w:iCs/>
                <w:sz w:val="25"/>
                <w:szCs w:val="25"/>
              </w:rPr>
              <w:t>执业资格</w:t>
            </w:r>
          </w:p>
        </w:tc>
        <w:tc>
          <w:tcPr>
            <w:tcW w:w="1575" w:type="dxa"/>
            <w:vAlign w:val="center"/>
          </w:tcPr>
          <w:p w14:paraId="618645D7">
            <w:pPr>
              <w:spacing w:line="600" w:lineRule="exact"/>
              <w:rPr>
                <w:rFonts w:ascii="宋体" w:hAnsi="宋体"/>
                <w:b/>
                <w:bCs/>
                <w:iCs/>
                <w:sz w:val="25"/>
                <w:szCs w:val="25"/>
              </w:rPr>
            </w:pPr>
            <w:r>
              <w:rPr>
                <w:rFonts w:ascii="宋体" w:hAnsi="宋体"/>
                <w:b/>
                <w:bCs/>
                <w:iCs/>
                <w:sz w:val="25"/>
                <w:szCs w:val="25"/>
              </w:rPr>
              <w:t>在本项目</w:t>
            </w:r>
          </w:p>
          <w:p w14:paraId="773227D0">
            <w:pPr>
              <w:spacing w:line="600" w:lineRule="exact"/>
              <w:rPr>
                <w:rFonts w:ascii="宋体" w:hAnsi="宋体"/>
                <w:b/>
                <w:bCs/>
                <w:iCs/>
                <w:sz w:val="25"/>
                <w:szCs w:val="25"/>
              </w:rPr>
            </w:pPr>
            <w:r>
              <w:rPr>
                <w:rFonts w:ascii="宋体" w:hAnsi="宋体"/>
                <w:b/>
                <w:bCs/>
                <w:iCs/>
                <w:sz w:val="25"/>
                <w:szCs w:val="25"/>
              </w:rPr>
              <w:t>拟任职务</w:t>
            </w:r>
          </w:p>
        </w:tc>
      </w:tr>
      <w:tr w14:paraId="2175D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C6D89DA">
            <w:pPr>
              <w:spacing w:line="600" w:lineRule="exact"/>
              <w:ind w:firstLine="500" w:firstLineChars="200"/>
              <w:jc w:val="center"/>
              <w:rPr>
                <w:rFonts w:ascii="宋体" w:hAnsi="宋体"/>
                <w:sz w:val="25"/>
                <w:szCs w:val="25"/>
              </w:rPr>
            </w:pPr>
          </w:p>
        </w:tc>
        <w:tc>
          <w:tcPr>
            <w:tcW w:w="1318" w:type="dxa"/>
          </w:tcPr>
          <w:p w14:paraId="514E3760">
            <w:pPr>
              <w:spacing w:line="600" w:lineRule="exact"/>
              <w:ind w:firstLine="500" w:firstLineChars="200"/>
              <w:jc w:val="center"/>
              <w:rPr>
                <w:rFonts w:ascii="宋体" w:hAnsi="宋体"/>
                <w:sz w:val="25"/>
                <w:szCs w:val="25"/>
              </w:rPr>
            </w:pPr>
          </w:p>
        </w:tc>
        <w:tc>
          <w:tcPr>
            <w:tcW w:w="842" w:type="dxa"/>
          </w:tcPr>
          <w:p w14:paraId="40AF4D25">
            <w:pPr>
              <w:spacing w:line="600" w:lineRule="exact"/>
              <w:ind w:firstLine="500" w:firstLineChars="200"/>
              <w:jc w:val="center"/>
              <w:rPr>
                <w:rFonts w:ascii="宋体" w:hAnsi="宋体"/>
                <w:sz w:val="25"/>
                <w:szCs w:val="25"/>
              </w:rPr>
            </w:pPr>
          </w:p>
        </w:tc>
        <w:tc>
          <w:tcPr>
            <w:tcW w:w="816" w:type="dxa"/>
          </w:tcPr>
          <w:p w14:paraId="202F542B">
            <w:pPr>
              <w:spacing w:line="600" w:lineRule="exact"/>
              <w:ind w:firstLine="500" w:firstLineChars="200"/>
              <w:jc w:val="center"/>
              <w:rPr>
                <w:rFonts w:ascii="宋体" w:hAnsi="宋体"/>
                <w:sz w:val="25"/>
                <w:szCs w:val="25"/>
              </w:rPr>
            </w:pPr>
          </w:p>
        </w:tc>
        <w:tc>
          <w:tcPr>
            <w:tcW w:w="984" w:type="dxa"/>
          </w:tcPr>
          <w:p w14:paraId="52BCB349">
            <w:pPr>
              <w:spacing w:line="600" w:lineRule="exact"/>
              <w:ind w:firstLine="500" w:firstLineChars="200"/>
              <w:jc w:val="center"/>
              <w:rPr>
                <w:rFonts w:ascii="宋体" w:hAnsi="宋体"/>
                <w:sz w:val="25"/>
                <w:szCs w:val="25"/>
              </w:rPr>
            </w:pPr>
          </w:p>
        </w:tc>
        <w:tc>
          <w:tcPr>
            <w:tcW w:w="816" w:type="dxa"/>
          </w:tcPr>
          <w:p w14:paraId="2C36E42B">
            <w:pPr>
              <w:spacing w:line="600" w:lineRule="exact"/>
              <w:ind w:firstLine="500" w:firstLineChars="200"/>
              <w:jc w:val="center"/>
              <w:rPr>
                <w:rFonts w:ascii="宋体" w:hAnsi="宋体"/>
                <w:sz w:val="25"/>
                <w:szCs w:val="25"/>
              </w:rPr>
            </w:pPr>
          </w:p>
        </w:tc>
        <w:tc>
          <w:tcPr>
            <w:tcW w:w="1582" w:type="dxa"/>
          </w:tcPr>
          <w:p w14:paraId="50DC07A2">
            <w:pPr>
              <w:spacing w:line="600" w:lineRule="exact"/>
              <w:ind w:firstLine="500" w:firstLineChars="200"/>
              <w:jc w:val="center"/>
              <w:rPr>
                <w:rFonts w:ascii="宋体" w:hAnsi="宋体"/>
                <w:sz w:val="25"/>
                <w:szCs w:val="25"/>
              </w:rPr>
            </w:pPr>
          </w:p>
        </w:tc>
        <w:tc>
          <w:tcPr>
            <w:tcW w:w="1575" w:type="dxa"/>
          </w:tcPr>
          <w:p w14:paraId="241DACAB">
            <w:pPr>
              <w:spacing w:line="600" w:lineRule="exact"/>
              <w:ind w:firstLine="500" w:firstLineChars="200"/>
              <w:jc w:val="center"/>
              <w:rPr>
                <w:rFonts w:ascii="宋体" w:hAnsi="宋体"/>
                <w:sz w:val="25"/>
                <w:szCs w:val="25"/>
              </w:rPr>
            </w:pPr>
          </w:p>
        </w:tc>
      </w:tr>
      <w:tr w14:paraId="4C7B3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084686D">
            <w:pPr>
              <w:spacing w:line="600" w:lineRule="exact"/>
              <w:ind w:firstLine="500" w:firstLineChars="200"/>
              <w:jc w:val="center"/>
              <w:rPr>
                <w:rFonts w:ascii="宋体" w:hAnsi="宋体"/>
                <w:sz w:val="25"/>
                <w:szCs w:val="25"/>
              </w:rPr>
            </w:pPr>
          </w:p>
        </w:tc>
        <w:tc>
          <w:tcPr>
            <w:tcW w:w="1318" w:type="dxa"/>
          </w:tcPr>
          <w:p w14:paraId="32A6F0B2">
            <w:pPr>
              <w:spacing w:line="600" w:lineRule="exact"/>
              <w:ind w:firstLine="500" w:firstLineChars="200"/>
              <w:jc w:val="center"/>
              <w:rPr>
                <w:rFonts w:ascii="宋体" w:hAnsi="宋体"/>
                <w:sz w:val="25"/>
                <w:szCs w:val="25"/>
              </w:rPr>
            </w:pPr>
          </w:p>
        </w:tc>
        <w:tc>
          <w:tcPr>
            <w:tcW w:w="842" w:type="dxa"/>
          </w:tcPr>
          <w:p w14:paraId="496CA100">
            <w:pPr>
              <w:spacing w:line="600" w:lineRule="exact"/>
              <w:ind w:firstLine="500" w:firstLineChars="200"/>
              <w:jc w:val="center"/>
              <w:rPr>
                <w:rFonts w:ascii="宋体" w:hAnsi="宋体"/>
                <w:sz w:val="25"/>
                <w:szCs w:val="25"/>
              </w:rPr>
            </w:pPr>
          </w:p>
        </w:tc>
        <w:tc>
          <w:tcPr>
            <w:tcW w:w="816" w:type="dxa"/>
          </w:tcPr>
          <w:p w14:paraId="676949A6">
            <w:pPr>
              <w:spacing w:line="600" w:lineRule="exact"/>
              <w:ind w:firstLine="500" w:firstLineChars="200"/>
              <w:jc w:val="center"/>
              <w:rPr>
                <w:rFonts w:ascii="宋体" w:hAnsi="宋体"/>
                <w:sz w:val="25"/>
                <w:szCs w:val="25"/>
              </w:rPr>
            </w:pPr>
          </w:p>
        </w:tc>
        <w:tc>
          <w:tcPr>
            <w:tcW w:w="984" w:type="dxa"/>
          </w:tcPr>
          <w:p w14:paraId="4D3B5E8A">
            <w:pPr>
              <w:spacing w:line="600" w:lineRule="exact"/>
              <w:ind w:firstLine="500" w:firstLineChars="200"/>
              <w:jc w:val="center"/>
              <w:rPr>
                <w:rFonts w:ascii="宋体" w:hAnsi="宋体"/>
                <w:sz w:val="25"/>
                <w:szCs w:val="25"/>
              </w:rPr>
            </w:pPr>
          </w:p>
        </w:tc>
        <w:tc>
          <w:tcPr>
            <w:tcW w:w="816" w:type="dxa"/>
          </w:tcPr>
          <w:p w14:paraId="79A6A9EC">
            <w:pPr>
              <w:spacing w:line="600" w:lineRule="exact"/>
              <w:ind w:firstLine="500" w:firstLineChars="200"/>
              <w:jc w:val="center"/>
              <w:rPr>
                <w:rFonts w:ascii="宋体" w:hAnsi="宋体"/>
                <w:sz w:val="25"/>
                <w:szCs w:val="25"/>
              </w:rPr>
            </w:pPr>
          </w:p>
        </w:tc>
        <w:tc>
          <w:tcPr>
            <w:tcW w:w="1582" w:type="dxa"/>
          </w:tcPr>
          <w:p w14:paraId="09D1C21E">
            <w:pPr>
              <w:spacing w:line="600" w:lineRule="exact"/>
              <w:ind w:firstLine="500" w:firstLineChars="200"/>
              <w:jc w:val="center"/>
              <w:rPr>
                <w:rFonts w:ascii="宋体" w:hAnsi="宋体"/>
                <w:sz w:val="25"/>
                <w:szCs w:val="25"/>
              </w:rPr>
            </w:pPr>
          </w:p>
        </w:tc>
        <w:tc>
          <w:tcPr>
            <w:tcW w:w="1575" w:type="dxa"/>
          </w:tcPr>
          <w:p w14:paraId="4F10A448">
            <w:pPr>
              <w:spacing w:line="600" w:lineRule="exact"/>
              <w:ind w:firstLine="500" w:firstLineChars="200"/>
              <w:jc w:val="center"/>
              <w:rPr>
                <w:rFonts w:ascii="宋体" w:hAnsi="宋体"/>
                <w:sz w:val="25"/>
                <w:szCs w:val="25"/>
              </w:rPr>
            </w:pPr>
          </w:p>
        </w:tc>
      </w:tr>
      <w:tr w14:paraId="0D6F9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F1A180F">
            <w:pPr>
              <w:spacing w:line="600" w:lineRule="exact"/>
              <w:ind w:firstLine="500" w:firstLineChars="200"/>
              <w:jc w:val="center"/>
              <w:rPr>
                <w:rFonts w:ascii="宋体" w:hAnsi="宋体"/>
                <w:sz w:val="25"/>
                <w:szCs w:val="25"/>
              </w:rPr>
            </w:pPr>
          </w:p>
        </w:tc>
        <w:tc>
          <w:tcPr>
            <w:tcW w:w="1318" w:type="dxa"/>
          </w:tcPr>
          <w:p w14:paraId="1719C394">
            <w:pPr>
              <w:spacing w:line="600" w:lineRule="exact"/>
              <w:ind w:firstLine="500" w:firstLineChars="200"/>
              <w:jc w:val="center"/>
              <w:rPr>
                <w:rFonts w:ascii="宋体" w:hAnsi="宋体"/>
                <w:sz w:val="25"/>
                <w:szCs w:val="25"/>
              </w:rPr>
            </w:pPr>
          </w:p>
        </w:tc>
        <w:tc>
          <w:tcPr>
            <w:tcW w:w="842" w:type="dxa"/>
          </w:tcPr>
          <w:p w14:paraId="5270CD38">
            <w:pPr>
              <w:spacing w:line="600" w:lineRule="exact"/>
              <w:ind w:firstLine="500" w:firstLineChars="200"/>
              <w:jc w:val="center"/>
              <w:rPr>
                <w:rFonts w:ascii="宋体" w:hAnsi="宋体"/>
                <w:sz w:val="25"/>
                <w:szCs w:val="25"/>
              </w:rPr>
            </w:pPr>
          </w:p>
        </w:tc>
        <w:tc>
          <w:tcPr>
            <w:tcW w:w="816" w:type="dxa"/>
          </w:tcPr>
          <w:p w14:paraId="4C7DCFFC">
            <w:pPr>
              <w:spacing w:line="600" w:lineRule="exact"/>
              <w:ind w:firstLine="500" w:firstLineChars="200"/>
              <w:jc w:val="center"/>
              <w:rPr>
                <w:rFonts w:ascii="宋体" w:hAnsi="宋体"/>
                <w:sz w:val="25"/>
                <w:szCs w:val="25"/>
              </w:rPr>
            </w:pPr>
          </w:p>
        </w:tc>
        <w:tc>
          <w:tcPr>
            <w:tcW w:w="984" w:type="dxa"/>
          </w:tcPr>
          <w:p w14:paraId="11A0CCF1">
            <w:pPr>
              <w:spacing w:line="600" w:lineRule="exact"/>
              <w:ind w:firstLine="500" w:firstLineChars="200"/>
              <w:jc w:val="center"/>
              <w:rPr>
                <w:rFonts w:ascii="宋体" w:hAnsi="宋体"/>
                <w:sz w:val="25"/>
                <w:szCs w:val="25"/>
              </w:rPr>
            </w:pPr>
          </w:p>
        </w:tc>
        <w:tc>
          <w:tcPr>
            <w:tcW w:w="816" w:type="dxa"/>
          </w:tcPr>
          <w:p w14:paraId="60E2FD96">
            <w:pPr>
              <w:spacing w:line="600" w:lineRule="exact"/>
              <w:ind w:firstLine="500" w:firstLineChars="200"/>
              <w:jc w:val="center"/>
              <w:rPr>
                <w:rFonts w:ascii="宋体" w:hAnsi="宋体"/>
                <w:sz w:val="25"/>
                <w:szCs w:val="25"/>
              </w:rPr>
            </w:pPr>
          </w:p>
        </w:tc>
        <w:tc>
          <w:tcPr>
            <w:tcW w:w="1582" w:type="dxa"/>
          </w:tcPr>
          <w:p w14:paraId="7F273AA1">
            <w:pPr>
              <w:spacing w:line="600" w:lineRule="exact"/>
              <w:ind w:firstLine="500" w:firstLineChars="200"/>
              <w:jc w:val="center"/>
              <w:rPr>
                <w:rFonts w:ascii="宋体" w:hAnsi="宋体"/>
                <w:sz w:val="25"/>
                <w:szCs w:val="25"/>
              </w:rPr>
            </w:pPr>
          </w:p>
        </w:tc>
        <w:tc>
          <w:tcPr>
            <w:tcW w:w="1575" w:type="dxa"/>
          </w:tcPr>
          <w:p w14:paraId="1F013C35">
            <w:pPr>
              <w:spacing w:line="600" w:lineRule="exact"/>
              <w:ind w:firstLine="500" w:firstLineChars="200"/>
              <w:jc w:val="center"/>
              <w:rPr>
                <w:rFonts w:ascii="宋体" w:hAnsi="宋体"/>
                <w:sz w:val="25"/>
                <w:szCs w:val="25"/>
              </w:rPr>
            </w:pPr>
          </w:p>
        </w:tc>
      </w:tr>
      <w:tr w14:paraId="060C0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C354EB5">
            <w:pPr>
              <w:spacing w:line="600" w:lineRule="exact"/>
              <w:ind w:firstLine="500" w:firstLineChars="200"/>
              <w:jc w:val="center"/>
              <w:rPr>
                <w:rFonts w:ascii="宋体" w:hAnsi="宋体"/>
                <w:sz w:val="25"/>
                <w:szCs w:val="25"/>
              </w:rPr>
            </w:pPr>
          </w:p>
        </w:tc>
        <w:tc>
          <w:tcPr>
            <w:tcW w:w="1318" w:type="dxa"/>
          </w:tcPr>
          <w:p w14:paraId="74191E96">
            <w:pPr>
              <w:spacing w:line="600" w:lineRule="exact"/>
              <w:ind w:firstLine="500" w:firstLineChars="200"/>
              <w:jc w:val="center"/>
              <w:rPr>
                <w:rFonts w:ascii="宋体" w:hAnsi="宋体"/>
                <w:sz w:val="25"/>
                <w:szCs w:val="25"/>
              </w:rPr>
            </w:pPr>
          </w:p>
        </w:tc>
        <w:tc>
          <w:tcPr>
            <w:tcW w:w="842" w:type="dxa"/>
          </w:tcPr>
          <w:p w14:paraId="02B76079">
            <w:pPr>
              <w:spacing w:line="600" w:lineRule="exact"/>
              <w:ind w:firstLine="500" w:firstLineChars="200"/>
              <w:jc w:val="center"/>
              <w:rPr>
                <w:rFonts w:ascii="宋体" w:hAnsi="宋体"/>
                <w:sz w:val="25"/>
                <w:szCs w:val="25"/>
              </w:rPr>
            </w:pPr>
          </w:p>
        </w:tc>
        <w:tc>
          <w:tcPr>
            <w:tcW w:w="816" w:type="dxa"/>
          </w:tcPr>
          <w:p w14:paraId="4FFCBEB9">
            <w:pPr>
              <w:spacing w:line="600" w:lineRule="exact"/>
              <w:ind w:firstLine="500" w:firstLineChars="200"/>
              <w:jc w:val="center"/>
              <w:rPr>
                <w:rFonts w:ascii="宋体" w:hAnsi="宋体"/>
                <w:sz w:val="25"/>
                <w:szCs w:val="25"/>
              </w:rPr>
            </w:pPr>
          </w:p>
        </w:tc>
        <w:tc>
          <w:tcPr>
            <w:tcW w:w="984" w:type="dxa"/>
          </w:tcPr>
          <w:p w14:paraId="2E2DA4F7">
            <w:pPr>
              <w:spacing w:line="600" w:lineRule="exact"/>
              <w:ind w:firstLine="500" w:firstLineChars="200"/>
              <w:jc w:val="center"/>
              <w:rPr>
                <w:rFonts w:ascii="宋体" w:hAnsi="宋体"/>
                <w:sz w:val="25"/>
                <w:szCs w:val="25"/>
              </w:rPr>
            </w:pPr>
          </w:p>
        </w:tc>
        <w:tc>
          <w:tcPr>
            <w:tcW w:w="816" w:type="dxa"/>
          </w:tcPr>
          <w:p w14:paraId="281E5579">
            <w:pPr>
              <w:spacing w:line="600" w:lineRule="exact"/>
              <w:ind w:firstLine="500" w:firstLineChars="200"/>
              <w:jc w:val="center"/>
              <w:rPr>
                <w:rFonts w:ascii="宋体" w:hAnsi="宋体"/>
                <w:sz w:val="25"/>
                <w:szCs w:val="25"/>
              </w:rPr>
            </w:pPr>
          </w:p>
        </w:tc>
        <w:tc>
          <w:tcPr>
            <w:tcW w:w="1582" w:type="dxa"/>
          </w:tcPr>
          <w:p w14:paraId="2EC1D036">
            <w:pPr>
              <w:spacing w:line="600" w:lineRule="exact"/>
              <w:ind w:firstLine="500" w:firstLineChars="200"/>
              <w:jc w:val="center"/>
              <w:rPr>
                <w:rFonts w:ascii="宋体" w:hAnsi="宋体"/>
                <w:sz w:val="25"/>
                <w:szCs w:val="25"/>
              </w:rPr>
            </w:pPr>
          </w:p>
        </w:tc>
        <w:tc>
          <w:tcPr>
            <w:tcW w:w="1575" w:type="dxa"/>
          </w:tcPr>
          <w:p w14:paraId="5C5D6582">
            <w:pPr>
              <w:spacing w:line="600" w:lineRule="exact"/>
              <w:ind w:firstLine="500" w:firstLineChars="200"/>
              <w:jc w:val="center"/>
              <w:rPr>
                <w:rFonts w:ascii="宋体" w:hAnsi="宋体"/>
                <w:sz w:val="25"/>
                <w:szCs w:val="25"/>
              </w:rPr>
            </w:pPr>
          </w:p>
        </w:tc>
      </w:tr>
      <w:tr w14:paraId="6386C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6854986">
            <w:pPr>
              <w:spacing w:line="600" w:lineRule="exact"/>
              <w:ind w:firstLine="500" w:firstLineChars="200"/>
              <w:jc w:val="center"/>
              <w:rPr>
                <w:rFonts w:ascii="宋体" w:hAnsi="宋体"/>
                <w:sz w:val="25"/>
                <w:szCs w:val="25"/>
              </w:rPr>
            </w:pPr>
          </w:p>
        </w:tc>
        <w:tc>
          <w:tcPr>
            <w:tcW w:w="1318" w:type="dxa"/>
          </w:tcPr>
          <w:p w14:paraId="12624F42">
            <w:pPr>
              <w:spacing w:line="600" w:lineRule="exact"/>
              <w:ind w:firstLine="500" w:firstLineChars="200"/>
              <w:jc w:val="center"/>
              <w:rPr>
                <w:rFonts w:ascii="宋体" w:hAnsi="宋体"/>
                <w:sz w:val="25"/>
                <w:szCs w:val="25"/>
              </w:rPr>
            </w:pPr>
          </w:p>
        </w:tc>
        <w:tc>
          <w:tcPr>
            <w:tcW w:w="842" w:type="dxa"/>
          </w:tcPr>
          <w:p w14:paraId="60874595">
            <w:pPr>
              <w:spacing w:line="600" w:lineRule="exact"/>
              <w:ind w:firstLine="500" w:firstLineChars="200"/>
              <w:jc w:val="center"/>
              <w:rPr>
                <w:rFonts w:ascii="宋体" w:hAnsi="宋体"/>
                <w:sz w:val="25"/>
                <w:szCs w:val="25"/>
              </w:rPr>
            </w:pPr>
          </w:p>
        </w:tc>
        <w:tc>
          <w:tcPr>
            <w:tcW w:w="816" w:type="dxa"/>
          </w:tcPr>
          <w:p w14:paraId="40853E38">
            <w:pPr>
              <w:spacing w:line="600" w:lineRule="exact"/>
              <w:ind w:firstLine="500" w:firstLineChars="200"/>
              <w:jc w:val="center"/>
              <w:rPr>
                <w:rFonts w:ascii="宋体" w:hAnsi="宋体"/>
                <w:sz w:val="25"/>
                <w:szCs w:val="25"/>
              </w:rPr>
            </w:pPr>
          </w:p>
        </w:tc>
        <w:tc>
          <w:tcPr>
            <w:tcW w:w="984" w:type="dxa"/>
          </w:tcPr>
          <w:p w14:paraId="52B0C30F">
            <w:pPr>
              <w:spacing w:line="600" w:lineRule="exact"/>
              <w:ind w:firstLine="500" w:firstLineChars="200"/>
              <w:jc w:val="center"/>
              <w:rPr>
                <w:rFonts w:ascii="宋体" w:hAnsi="宋体"/>
                <w:sz w:val="25"/>
                <w:szCs w:val="25"/>
              </w:rPr>
            </w:pPr>
          </w:p>
        </w:tc>
        <w:tc>
          <w:tcPr>
            <w:tcW w:w="816" w:type="dxa"/>
          </w:tcPr>
          <w:p w14:paraId="6237F2AF">
            <w:pPr>
              <w:spacing w:line="600" w:lineRule="exact"/>
              <w:ind w:firstLine="500" w:firstLineChars="200"/>
              <w:jc w:val="center"/>
              <w:rPr>
                <w:rFonts w:ascii="宋体" w:hAnsi="宋体"/>
                <w:sz w:val="25"/>
                <w:szCs w:val="25"/>
              </w:rPr>
            </w:pPr>
          </w:p>
        </w:tc>
        <w:tc>
          <w:tcPr>
            <w:tcW w:w="1582" w:type="dxa"/>
          </w:tcPr>
          <w:p w14:paraId="1766146B">
            <w:pPr>
              <w:spacing w:line="600" w:lineRule="exact"/>
              <w:ind w:firstLine="500" w:firstLineChars="200"/>
              <w:jc w:val="center"/>
              <w:rPr>
                <w:rFonts w:ascii="宋体" w:hAnsi="宋体"/>
                <w:sz w:val="25"/>
                <w:szCs w:val="25"/>
              </w:rPr>
            </w:pPr>
          </w:p>
        </w:tc>
        <w:tc>
          <w:tcPr>
            <w:tcW w:w="1575" w:type="dxa"/>
          </w:tcPr>
          <w:p w14:paraId="422A157A">
            <w:pPr>
              <w:spacing w:line="600" w:lineRule="exact"/>
              <w:ind w:firstLine="500" w:firstLineChars="200"/>
              <w:jc w:val="center"/>
              <w:rPr>
                <w:rFonts w:ascii="宋体" w:hAnsi="宋体"/>
                <w:sz w:val="25"/>
                <w:szCs w:val="25"/>
              </w:rPr>
            </w:pPr>
          </w:p>
        </w:tc>
      </w:tr>
      <w:tr w14:paraId="3D26C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4082CEB">
            <w:pPr>
              <w:spacing w:line="600" w:lineRule="exact"/>
              <w:ind w:firstLine="500" w:firstLineChars="200"/>
              <w:jc w:val="center"/>
              <w:rPr>
                <w:rFonts w:ascii="宋体" w:hAnsi="宋体"/>
                <w:sz w:val="25"/>
                <w:szCs w:val="25"/>
              </w:rPr>
            </w:pPr>
          </w:p>
        </w:tc>
        <w:tc>
          <w:tcPr>
            <w:tcW w:w="1318" w:type="dxa"/>
          </w:tcPr>
          <w:p w14:paraId="08B01E86">
            <w:pPr>
              <w:spacing w:line="600" w:lineRule="exact"/>
              <w:ind w:firstLine="500" w:firstLineChars="200"/>
              <w:jc w:val="center"/>
              <w:rPr>
                <w:rFonts w:ascii="宋体" w:hAnsi="宋体"/>
                <w:sz w:val="25"/>
                <w:szCs w:val="25"/>
              </w:rPr>
            </w:pPr>
          </w:p>
        </w:tc>
        <w:tc>
          <w:tcPr>
            <w:tcW w:w="842" w:type="dxa"/>
          </w:tcPr>
          <w:p w14:paraId="678FA46A">
            <w:pPr>
              <w:spacing w:line="600" w:lineRule="exact"/>
              <w:ind w:firstLine="500" w:firstLineChars="200"/>
              <w:jc w:val="center"/>
              <w:rPr>
                <w:rFonts w:ascii="宋体" w:hAnsi="宋体"/>
                <w:sz w:val="25"/>
                <w:szCs w:val="25"/>
              </w:rPr>
            </w:pPr>
          </w:p>
        </w:tc>
        <w:tc>
          <w:tcPr>
            <w:tcW w:w="816" w:type="dxa"/>
          </w:tcPr>
          <w:p w14:paraId="0CA35705">
            <w:pPr>
              <w:spacing w:line="600" w:lineRule="exact"/>
              <w:ind w:firstLine="500" w:firstLineChars="200"/>
              <w:jc w:val="center"/>
              <w:rPr>
                <w:rFonts w:ascii="宋体" w:hAnsi="宋体"/>
                <w:sz w:val="25"/>
                <w:szCs w:val="25"/>
              </w:rPr>
            </w:pPr>
          </w:p>
        </w:tc>
        <w:tc>
          <w:tcPr>
            <w:tcW w:w="984" w:type="dxa"/>
          </w:tcPr>
          <w:p w14:paraId="714E0C7E">
            <w:pPr>
              <w:spacing w:line="600" w:lineRule="exact"/>
              <w:ind w:firstLine="500" w:firstLineChars="200"/>
              <w:jc w:val="center"/>
              <w:rPr>
                <w:rFonts w:ascii="宋体" w:hAnsi="宋体"/>
                <w:sz w:val="25"/>
                <w:szCs w:val="25"/>
              </w:rPr>
            </w:pPr>
          </w:p>
        </w:tc>
        <w:tc>
          <w:tcPr>
            <w:tcW w:w="816" w:type="dxa"/>
          </w:tcPr>
          <w:p w14:paraId="5A422805">
            <w:pPr>
              <w:spacing w:line="600" w:lineRule="exact"/>
              <w:ind w:firstLine="500" w:firstLineChars="200"/>
              <w:jc w:val="center"/>
              <w:rPr>
                <w:rFonts w:ascii="宋体" w:hAnsi="宋体"/>
                <w:sz w:val="25"/>
                <w:szCs w:val="25"/>
              </w:rPr>
            </w:pPr>
          </w:p>
        </w:tc>
        <w:tc>
          <w:tcPr>
            <w:tcW w:w="1582" w:type="dxa"/>
          </w:tcPr>
          <w:p w14:paraId="37063789">
            <w:pPr>
              <w:spacing w:line="600" w:lineRule="exact"/>
              <w:ind w:firstLine="500" w:firstLineChars="200"/>
              <w:jc w:val="center"/>
              <w:rPr>
                <w:rFonts w:ascii="宋体" w:hAnsi="宋体"/>
                <w:sz w:val="25"/>
                <w:szCs w:val="25"/>
              </w:rPr>
            </w:pPr>
          </w:p>
        </w:tc>
        <w:tc>
          <w:tcPr>
            <w:tcW w:w="1575" w:type="dxa"/>
          </w:tcPr>
          <w:p w14:paraId="048D55F2">
            <w:pPr>
              <w:spacing w:line="600" w:lineRule="exact"/>
              <w:ind w:firstLine="500" w:firstLineChars="200"/>
              <w:jc w:val="center"/>
              <w:rPr>
                <w:rFonts w:ascii="宋体" w:hAnsi="宋体"/>
                <w:sz w:val="25"/>
                <w:szCs w:val="25"/>
              </w:rPr>
            </w:pPr>
          </w:p>
        </w:tc>
      </w:tr>
      <w:tr w14:paraId="4FED4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41A9F18">
            <w:pPr>
              <w:spacing w:line="600" w:lineRule="exact"/>
              <w:ind w:firstLine="500" w:firstLineChars="200"/>
              <w:jc w:val="center"/>
              <w:rPr>
                <w:rFonts w:ascii="宋体" w:hAnsi="宋体"/>
                <w:sz w:val="25"/>
                <w:szCs w:val="25"/>
              </w:rPr>
            </w:pPr>
          </w:p>
        </w:tc>
        <w:tc>
          <w:tcPr>
            <w:tcW w:w="1318" w:type="dxa"/>
          </w:tcPr>
          <w:p w14:paraId="5C560899">
            <w:pPr>
              <w:spacing w:line="600" w:lineRule="exact"/>
              <w:ind w:firstLine="500" w:firstLineChars="200"/>
              <w:jc w:val="center"/>
              <w:rPr>
                <w:rFonts w:ascii="宋体" w:hAnsi="宋体"/>
                <w:sz w:val="25"/>
                <w:szCs w:val="25"/>
              </w:rPr>
            </w:pPr>
          </w:p>
        </w:tc>
        <w:tc>
          <w:tcPr>
            <w:tcW w:w="842" w:type="dxa"/>
          </w:tcPr>
          <w:p w14:paraId="6B94CE37">
            <w:pPr>
              <w:spacing w:line="600" w:lineRule="exact"/>
              <w:ind w:firstLine="500" w:firstLineChars="200"/>
              <w:jc w:val="center"/>
              <w:rPr>
                <w:rFonts w:ascii="宋体" w:hAnsi="宋体"/>
                <w:sz w:val="25"/>
                <w:szCs w:val="25"/>
              </w:rPr>
            </w:pPr>
          </w:p>
        </w:tc>
        <w:tc>
          <w:tcPr>
            <w:tcW w:w="816" w:type="dxa"/>
          </w:tcPr>
          <w:p w14:paraId="46B7FEC1">
            <w:pPr>
              <w:spacing w:line="600" w:lineRule="exact"/>
              <w:ind w:firstLine="500" w:firstLineChars="200"/>
              <w:jc w:val="center"/>
              <w:rPr>
                <w:rFonts w:ascii="宋体" w:hAnsi="宋体"/>
                <w:sz w:val="25"/>
                <w:szCs w:val="25"/>
              </w:rPr>
            </w:pPr>
          </w:p>
        </w:tc>
        <w:tc>
          <w:tcPr>
            <w:tcW w:w="984" w:type="dxa"/>
          </w:tcPr>
          <w:p w14:paraId="1BB505D0">
            <w:pPr>
              <w:spacing w:line="600" w:lineRule="exact"/>
              <w:ind w:firstLine="500" w:firstLineChars="200"/>
              <w:jc w:val="center"/>
              <w:rPr>
                <w:rFonts w:ascii="宋体" w:hAnsi="宋体"/>
                <w:sz w:val="25"/>
                <w:szCs w:val="25"/>
              </w:rPr>
            </w:pPr>
          </w:p>
        </w:tc>
        <w:tc>
          <w:tcPr>
            <w:tcW w:w="816" w:type="dxa"/>
          </w:tcPr>
          <w:p w14:paraId="0AACABEC">
            <w:pPr>
              <w:spacing w:line="600" w:lineRule="exact"/>
              <w:ind w:firstLine="500" w:firstLineChars="200"/>
              <w:jc w:val="center"/>
              <w:rPr>
                <w:rFonts w:ascii="宋体" w:hAnsi="宋体"/>
                <w:sz w:val="25"/>
                <w:szCs w:val="25"/>
              </w:rPr>
            </w:pPr>
          </w:p>
        </w:tc>
        <w:tc>
          <w:tcPr>
            <w:tcW w:w="1582" w:type="dxa"/>
          </w:tcPr>
          <w:p w14:paraId="1D4C286C">
            <w:pPr>
              <w:spacing w:line="600" w:lineRule="exact"/>
              <w:ind w:firstLine="500" w:firstLineChars="200"/>
              <w:jc w:val="center"/>
              <w:rPr>
                <w:rFonts w:ascii="宋体" w:hAnsi="宋体"/>
                <w:sz w:val="25"/>
                <w:szCs w:val="25"/>
              </w:rPr>
            </w:pPr>
          </w:p>
        </w:tc>
        <w:tc>
          <w:tcPr>
            <w:tcW w:w="1575" w:type="dxa"/>
          </w:tcPr>
          <w:p w14:paraId="0DB766BE">
            <w:pPr>
              <w:spacing w:line="600" w:lineRule="exact"/>
              <w:ind w:firstLine="500" w:firstLineChars="200"/>
              <w:jc w:val="center"/>
              <w:rPr>
                <w:rFonts w:ascii="宋体" w:hAnsi="宋体"/>
                <w:sz w:val="25"/>
                <w:szCs w:val="25"/>
              </w:rPr>
            </w:pPr>
          </w:p>
        </w:tc>
      </w:tr>
      <w:tr w14:paraId="79314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BD5C791">
            <w:pPr>
              <w:spacing w:line="600" w:lineRule="exact"/>
              <w:ind w:firstLine="500" w:firstLineChars="200"/>
              <w:jc w:val="center"/>
              <w:rPr>
                <w:rFonts w:ascii="宋体" w:hAnsi="宋体"/>
                <w:sz w:val="25"/>
                <w:szCs w:val="25"/>
              </w:rPr>
            </w:pPr>
          </w:p>
        </w:tc>
        <w:tc>
          <w:tcPr>
            <w:tcW w:w="1318" w:type="dxa"/>
          </w:tcPr>
          <w:p w14:paraId="3355E669">
            <w:pPr>
              <w:spacing w:line="600" w:lineRule="exact"/>
              <w:ind w:firstLine="500" w:firstLineChars="200"/>
              <w:jc w:val="center"/>
              <w:rPr>
                <w:rFonts w:ascii="宋体" w:hAnsi="宋体"/>
                <w:sz w:val="25"/>
                <w:szCs w:val="25"/>
              </w:rPr>
            </w:pPr>
          </w:p>
        </w:tc>
        <w:tc>
          <w:tcPr>
            <w:tcW w:w="842" w:type="dxa"/>
          </w:tcPr>
          <w:p w14:paraId="017510BB">
            <w:pPr>
              <w:spacing w:line="600" w:lineRule="exact"/>
              <w:ind w:firstLine="500" w:firstLineChars="200"/>
              <w:jc w:val="center"/>
              <w:rPr>
                <w:rFonts w:ascii="宋体" w:hAnsi="宋体"/>
                <w:sz w:val="25"/>
                <w:szCs w:val="25"/>
              </w:rPr>
            </w:pPr>
          </w:p>
        </w:tc>
        <w:tc>
          <w:tcPr>
            <w:tcW w:w="816" w:type="dxa"/>
          </w:tcPr>
          <w:p w14:paraId="030F8D76">
            <w:pPr>
              <w:spacing w:line="600" w:lineRule="exact"/>
              <w:ind w:firstLine="500" w:firstLineChars="200"/>
              <w:jc w:val="center"/>
              <w:rPr>
                <w:rFonts w:ascii="宋体" w:hAnsi="宋体"/>
                <w:sz w:val="25"/>
                <w:szCs w:val="25"/>
              </w:rPr>
            </w:pPr>
          </w:p>
        </w:tc>
        <w:tc>
          <w:tcPr>
            <w:tcW w:w="984" w:type="dxa"/>
          </w:tcPr>
          <w:p w14:paraId="06B28BD6">
            <w:pPr>
              <w:spacing w:line="600" w:lineRule="exact"/>
              <w:ind w:firstLine="500" w:firstLineChars="200"/>
              <w:jc w:val="center"/>
              <w:rPr>
                <w:rFonts w:ascii="宋体" w:hAnsi="宋体"/>
                <w:sz w:val="25"/>
                <w:szCs w:val="25"/>
              </w:rPr>
            </w:pPr>
          </w:p>
        </w:tc>
        <w:tc>
          <w:tcPr>
            <w:tcW w:w="816" w:type="dxa"/>
          </w:tcPr>
          <w:p w14:paraId="0AAB56EA">
            <w:pPr>
              <w:spacing w:line="600" w:lineRule="exact"/>
              <w:ind w:firstLine="500" w:firstLineChars="200"/>
              <w:jc w:val="center"/>
              <w:rPr>
                <w:rFonts w:ascii="宋体" w:hAnsi="宋体"/>
                <w:sz w:val="25"/>
                <w:szCs w:val="25"/>
              </w:rPr>
            </w:pPr>
          </w:p>
        </w:tc>
        <w:tc>
          <w:tcPr>
            <w:tcW w:w="1582" w:type="dxa"/>
          </w:tcPr>
          <w:p w14:paraId="6A3202C1">
            <w:pPr>
              <w:spacing w:line="600" w:lineRule="exact"/>
              <w:ind w:firstLine="500" w:firstLineChars="200"/>
              <w:jc w:val="center"/>
              <w:rPr>
                <w:rFonts w:ascii="宋体" w:hAnsi="宋体"/>
                <w:sz w:val="25"/>
                <w:szCs w:val="25"/>
              </w:rPr>
            </w:pPr>
          </w:p>
        </w:tc>
        <w:tc>
          <w:tcPr>
            <w:tcW w:w="1575" w:type="dxa"/>
          </w:tcPr>
          <w:p w14:paraId="1BA08C41">
            <w:pPr>
              <w:spacing w:line="600" w:lineRule="exact"/>
              <w:ind w:firstLine="500" w:firstLineChars="200"/>
              <w:jc w:val="center"/>
              <w:rPr>
                <w:rFonts w:ascii="宋体" w:hAnsi="宋体"/>
                <w:sz w:val="25"/>
                <w:szCs w:val="25"/>
              </w:rPr>
            </w:pPr>
          </w:p>
        </w:tc>
      </w:tr>
      <w:tr w14:paraId="552EA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341DEB5">
            <w:pPr>
              <w:spacing w:line="600" w:lineRule="exact"/>
              <w:ind w:firstLine="500" w:firstLineChars="200"/>
              <w:jc w:val="center"/>
              <w:rPr>
                <w:rFonts w:ascii="宋体" w:hAnsi="宋体"/>
                <w:sz w:val="25"/>
                <w:szCs w:val="25"/>
              </w:rPr>
            </w:pPr>
          </w:p>
        </w:tc>
        <w:tc>
          <w:tcPr>
            <w:tcW w:w="1318" w:type="dxa"/>
          </w:tcPr>
          <w:p w14:paraId="4109AE6E">
            <w:pPr>
              <w:spacing w:line="600" w:lineRule="exact"/>
              <w:ind w:firstLine="500" w:firstLineChars="200"/>
              <w:jc w:val="center"/>
              <w:rPr>
                <w:rFonts w:ascii="宋体" w:hAnsi="宋体"/>
                <w:sz w:val="25"/>
                <w:szCs w:val="25"/>
              </w:rPr>
            </w:pPr>
          </w:p>
        </w:tc>
        <w:tc>
          <w:tcPr>
            <w:tcW w:w="842" w:type="dxa"/>
          </w:tcPr>
          <w:p w14:paraId="2B75825C">
            <w:pPr>
              <w:spacing w:line="600" w:lineRule="exact"/>
              <w:ind w:firstLine="500" w:firstLineChars="200"/>
              <w:jc w:val="center"/>
              <w:rPr>
                <w:rFonts w:ascii="宋体" w:hAnsi="宋体"/>
                <w:sz w:val="25"/>
                <w:szCs w:val="25"/>
              </w:rPr>
            </w:pPr>
          </w:p>
        </w:tc>
        <w:tc>
          <w:tcPr>
            <w:tcW w:w="816" w:type="dxa"/>
          </w:tcPr>
          <w:p w14:paraId="5616D970">
            <w:pPr>
              <w:spacing w:line="600" w:lineRule="exact"/>
              <w:ind w:firstLine="500" w:firstLineChars="200"/>
              <w:jc w:val="center"/>
              <w:rPr>
                <w:rFonts w:ascii="宋体" w:hAnsi="宋体"/>
                <w:sz w:val="25"/>
                <w:szCs w:val="25"/>
              </w:rPr>
            </w:pPr>
          </w:p>
        </w:tc>
        <w:tc>
          <w:tcPr>
            <w:tcW w:w="984" w:type="dxa"/>
          </w:tcPr>
          <w:p w14:paraId="45A08B9B">
            <w:pPr>
              <w:spacing w:line="600" w:lineRule="exact"/>
              <w:ind w:firstLine="500" w:firstLineChars="200"/>
              <w:jc w:val="center"/>
              <w:rPr>
                <w:rFonts w:ascii="宋体" w:hAnsi="宋体"/>
                <w:sz w:val="25"/>
                <w:szCs w:val="25"/>
              </w:rPr>
            </w:pPr>
          </w:p>
        </w:tc>
        <w:tc>
          <w:tcPr>
            <w:tcW w:w="816" w:type="dxa"/>
          </w:tcPr>
          <w:p w14:paraId="3B18A50E">
            <w:pPr>
              <w:spacing w:line="600" w:lineRule="exact"/>
              <w:ind w:firstLine="500" w:firstLineChars="200"/>
              <w:jc w:val="center"/>
              <w:rPr>
                <w:rFonts w:ascii="宋体" w:hAnsi="宋体"/>
                <w:sz w:val="25"/>
                <w:szCs w:val="25"/>
              </w:rPr>
            </w:pPr>
          </w:p>
        </w:tc>
        <w:tc>
          <w:tcPr>
            <w:tcW w:w="1582" w:type="dxa"/>
          </w:tcPr>
          <w:p w14:paraId="3B80EB91">
            <w:pPr>
              <w:spacing w:line="600" w:lineRule="exact"/>
              <w:ind w:firstLine="500" w:firstLineChars="200"/>
              <w:jc w:val="center"/>
              <w:rPr>
                <w:rFonts w:ascii="宋体" w:hAnsi="宋体"/>
                <w:sz w:val="25"/>
                <w:szCs w:val="25"/>
              </w:rPr>
            </w:pPr>
          </w:p>
        </w:tc>
        <w:tc>
          <w:tcPr>
            <w:tcW w:w="1575" w:type="dxa"/>
          </w:tcPr>
          <w:p w14:paraId="5BD9FF94">
            <w:pPr>
              <w:spacing w:line="600" w:lineRule="exact"/>
              <w:ind w:firstLine="500" w:firstLineChars="200"/>
              <w:jc w:val="center"/>
              <w:rPr>
                <w:rFonts w:ascii="宋体" w:hAnsi="宋体"/>
                <w:sz w:val="25"/>
                <w:szCs w:val="25"/>
              </w:rPr>
            </w:pPr>
          </w:p>
        </w:tc>
      </w:tr>
      <w:tr w14:paraId="7FEE3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A81CBE8">
            <w:pPr>
              <w:spacing w:line="600" w:lineRule="exact"/>
              <w:ind w:firstLine="500" w:firstLineChars="200"/>
              <w:jc w:val="center"/>
              <w:rPr>
                <w:rFonts w:ascii="宋体" w:hAnsi="宋体"/>
                <w:sz w:val="25"/>
                <w:szCs w:val="25"/>
              </w:rPr>
            </w:pPr>
          </w:p>
        </w:tc>
        <w:tc>
          <w:tcPr>
            <w:tcW w:w="1318" w:type="dxa"/>
          </w:tcPr>
          <w:p w14:paraId="60788DD2">
            <w:pPr>
              <w:spacing w:line="600" w:lineRule="exact"/>
              <w:ind w:firstLine="500" w:firstLineChars="200"/>
              <w:jc w:val="center"/>
              <w:rPr>
                <w:rFonts w:ascii="宋体" w:hAnsi="宋体"/>
                <w:sz w:val="25"/>
                <w:szCs w:val="25"/>
              </w:rPr>
            </w:pPr>
          </w:p>
        </w:tc>
        <w:tc>
          <w:tcPr>
            <w:tcW w:w="842" w:type="dxa"/>
          </w:tcPr>
          <w:p w14:paraId="0BE5ABF3">
            <w:pPr>
              <w:spacing w:line="600" w:lineRule="exact"/>
              <w:ind w:firstLine="500" w:firstLineChars="200"/>
              <w:jc w:val="center"/>
              <w:rPr>
                <w:rFonts w:ascii="宋体" w:hAnsi="宋体"/>
                <w:sz w:val="25"/>
                <w:szCs w:val="25"/>
              </w:rPr>
            </w:pPr>
          </w:p>
        </w:tc>
        <w:tc>
          <w:tcPr>
            <w:tcW w:w="816" w:type="dxa"/>
          </w:tcPr>
          <w:p w14:paraId="05024A05">
            <w:pPr>
              <w:spacing w:line="600" w:lineRule="exact"/>
              <w:ind w:firstLine="500" w:firstLineChars="200"/>
              <w:jc w:val="center"/>
              <w:rPr>
                <w:rFonts w:ascii="宋体" w:hAnsi="宋体"/>
                <w:sz w:val="25"/>
                <w:szCs w:val="25"/>
              </w:rPr>
            </w:pPr>
          </w:p>
        </w:tc>
        <w:tc>
          <w:tcPr>
            <w:tcW w:w="984" w:type="dxa"/>
          </w:tcPr>
          <w:p w14:paraId="43DE52E5">
            <w:pPr>
              <w:spacing w:line="600" w:lineRule="exact"/>
              <w:ind w:firstLine="500" w:firstLineChars="200"/>
              <w:jc w:val="center"/>
              <w:rPr>
                <w:rFonts w:ascii="宋体" w:hAnsi="宋体"/>
                <w:sz w:val="25"/>
                <w:szCs w:val="25"/>
              </w:rPr>
            </w:pPr>
          </w:p>
        </w:tc>
        <w:tc>
          <w:tcPr>
            <w:tcW w:w="816" w:type="dxa"/>
          </w:tcPr>
          <w:p w14:paraId="431EF40E">
            <w:pPr>
              <w:spacing w:line="600" w:lineRule="exact"/>
              <w:ind w:firstLine="500" w:firstLineChars="200"/>
              <w:jc w:val="center"/>
              <w:rPr>
                <w:rFonts w:ascii="宋体" w:hAnsi="宋体"/>
                <w:sz w:val="25"/>
                <w:szCs w:val="25"/>
              </w:rPr>
            </w:pPr>
          </w:p>
        </w:tc>
        <w:tc>
          <w:tcPr>
            <w:tcW w:w="1582" w:type="dxa"/>
          </w:tcPr>
          <w:p w14:paraId="1585A743">
            <w:pPr>
              <w:spacing w:line="600" w:lineRule="exact"/>
              <w:ind w:firstLine="500" w:firstLineChars="200"/>
              <w:jc w:val="center"/>
              <w:rPr>
                <w:rFonts w:ascii="宋体" w:hAnsi="宋体"/>
                <w:sz w:val="25"/>
                <w:szCs w:val="25"/>
              </w:rPr>
            </w:pPr>
          </w:p>
        </w:tc>
        <w:tc>
          <w:tcPr>
            <w:tcW w:w="1575" w:type="dxa"/>
          </w:tcPr>
          <w:p w14:paraId="436E7794">
            <w:pPr>
              <w:spacing w:line="600" w:lineRule="exact"/>
              <w:ind w:firstLine="500" w:firstLineChars="200"/>
              <w:jc w:val="center"/>
              <w:rPr>
                <w:rFonts w:ascii="宋体" w:hAnsi="宋体"/>
                <w:sz w:val="25"/>
                <w:szCs w:val="25"/>
              </w:rPr>
            </w:pPr>
          </w:p>
        </w:tc>
      </w:tr>
      <w:tr w14:paraId="313A4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005A26E">
            <w:pPr>
              <w:spacing w:line="600" w:lineRule="exact"/>
              <w:ind w:firstLine="500" w:firstLineChars="200"/>
              <w:jc w:val="center"/>
              <w:rPr>
                <w:rFonts w:ascii="宋体" w:hAnsi="宋体"/>
                <w:sz w:val="25"/>
                <w:szCs w:val="25"/>
              </w:rPr>
            </w:pPr>
          </w:p>
        </w:tc>
        <w:tc>
          <w:tcPr>
            <w:tcW w:w="1318" w:type="dxa"/>
          </w:tcPr>
          <w:p w14:paraId="233547C7">
            <w:pPr>
              <w:spacing w:line="600" w:lineRule="exact"/>
              <w:ind w:firstLine="500" w:firstLineChars="200"/>
              <w:jc w:val="center"/>
              <w:rPr>
                <w:rFonts w:ascii="宋体" w:hAnsi="宋体"/>
                <w:sz w:val="25"/>
                <w:szCs w:val="25"/>
              </w:rPr>
            </w:pPr>
          </w:p>
        </w:tc>
        <w:tc>
          <w:tcPr>
            <w:tcW w:w="842" w:type="dxa"/>
          </w:tcPr>
          <w:p w14:paraId="4E0F73D6">
            <w:pPr>
              <w:spacing w:line="600" w:lineRule="exact"/>
              <w:ind w:firstLine="500" w:firstLineChars="200"/>
              <w:jc w:val="center"/>
              <w:rPr>
                <w:rFonts w:ascii="宋体" w:hAnsi="宋体"/>
                <w:sz w:val="25"/>
                <w:szCs w:val="25"/>
              </w:rPr>
            </w:pPr>
          </w:p>
        </w:tc>
        <w:tc>
          <w:tcPr>
            <w:tcW w:w="816" w:type="dxa"/>
          </w:tcPr>
          <w:p w14:paraId="41DBAAB7">
            <w:pPr>
              <w:spacing w:line="600" w:lineRule="exact"/>
              <w:ind w:firstLine="500" w:firstLineChars="200"/>
              <w:jc w:val="center"/>
              <w:rPr>
                <w:rFonts w:ascii="宋体" w:hAnsi="宋体"/>
                <w:sz w:val="25"/>
                <w:szCs w:val="25"/>
              </w:rPr>
            </w:pPr>
          </w:p>
        </w:tc>
        <w:tc>
          <w:tcPr>
            <w:tcW w:w="984" w:type="dxa"/>
          </w:tcPr>
          <w:p w14:paraId="2330FD62">
            <w:pPr>
              <w:spacing w:line="600" w:lineRule="exact"/>
              <w:ind w:firstLine="500" w:firstLineChars="200"/>
              <w:jc w:val="center"/>
              <w:rPr>
                <w:rFonts w:ascii="宋体" w:hAnsi="宋体"/>
                <w:sz w:val="25"/>
                <w:szCs w:val="25"/>
              </w:rPr>
            </w:pPr>
          </w:p>
        </w:tc>
        <w:tc>
          <w:tcPr>
            <w:tcW w:w="816" w:type="dxa"/>
          </w:tcPr>
          <w:p w14:paraId="29755658">
            <w:pPr>
              <w:spacing w:line="600" w:lineRule="exact"/>
              <w:ind w:firstLine="500" w:firstLineChars="200"/>
              <w:jc w:val="center"/>
              <w:rPr>
                <w:rFonts w:ascii="宋体" w:hAnsi="宋体"/>
                <w:sz w:val="25"/>
                <w:szCs w:val="25"/>
              </w:rPr>
            </w:pPr>
          </w:p>
        </w:tc>
        <w:tc>
          <w:tcPr>
            <w:tcW w:w="1582" w:type="dxa"/>
          </w:tcPr>
          <w:p w14:paraId="157E3B39">
            <w:pPr>
              <w:spacing w:line="600" w:lineRule="exact"/>
              <w:ind w:firstLine="500" w:firstLineChars="200"/>
              <w:jc w:val="center"/>
              <w:rPr>
                <w:rFonts w:ascii="宋体" w:hAnsi="宋体"/>
                <w:sz w:val="25"/>
                <w:szCs w:val="25"/>
              </w:rPr>
            </w:pPr>
          </w:p>
        </w:tc>
        <w:tc>
          <w:tcPr>
            <w:tcW w:w="1575" w:type="dxa"/>
          </w:tcPr>
          <w:p w14:paraId="26B2B79A">
            <w:pPr>
              <w:spacing w:line="600" w:lineRule="exact"/>
              <w:ind w:firstLine="500" w:firstLineChars="200"/>
              <w:jc w:val="center"/>
              <w:rPr>
                <w:rFonts w:ascii="宋体" w:hAnsi="宋体"/>
                <w:sz w:val="25"/>
                <w:szCs w:val="25"/>
              </w:rPr>
            </w:pPr>
          </w:p>
        </w:tc>
      </w:tr>
    </w:tbl>
    <w:p w14:paraId="2346B895">
      <w:pPr>
        <w:spacing w:line="480" w:lineRule="exact"/>
        <w:ind w:firstLine="500" w:firstLineChars="200"/>
        <w:rPr>
          <w:rFonts w:ascii="宋体" w:hAnsi="宋体"/>
          <w:sz w:val="25"/>
          <w:szCs w:val="25"/>
        </w:rPr>
      </w:pPr>
      <w:r>
        <w:rPr>
          <w:rFonts w:hint="eastAsia" w:ascii="宋体" w:hAnsi="宋体"/>
          <w:sz w:val="25"/>
          <w:szCs w:val="25"/>
        </w:rPr>
        <w:t>注：附中标后不变更上述人员的承诺书。</w:t>
      </w:r>
    </w:p>
    <w:p w14:paraId="6B23E1B3">
      <w:pPr>
        <w:spacing w:line="480" w:lineRule="exact"/>
        <w:ind w:firstLine="500" w:firstLineChars="200"/>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5A968B5C">
      <w:pPr>
        <w:spacing w:line="360" w:lineRule="auto"/>
        <w:ind w:firstLine="500" w:firstLineChars="200"/>
        <w:rPr>
          <w:rFonts w:ascii="宋体" w:hAnsi="宋体"/>
          <w:kern w:val="0"/>
          <w:sz w:val="25"/>
          <w:szCs w:val="25"/>
          <w:u w:val="single"/>
        </w:rPr>
      </w:pPr>
      <w:r>
        <w:rPr>
          <w:rFonts w:hint="eastAsia" w:ascii="宋体" w:hAnsi="宋体"/>
          <w:kern w:val="0"/>
          <w:sz w:val="25"/>
          <w:szCs w:val="25"/>
        </w:rPr>
        <w:t>法定代表人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5C6D21A9">
      <w:pPr>
        <w:spacing w:line="360" w:lineRule="auto"/>
        <w:ind w:firstLine="500" w:firstLineChars="200"/>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61B1370B">
      <w:pPr>
        <w:rPr>
          <w:rFonts w:ascii="仿宋_GB2312" w:eastAsia="仿宋_GB2312"/>
          <w:sz w:val="32"/>
          <w:szCs w:val="32"/>
        </w:rPr>
      </w:pPr>
    </w:p>
    <w:p w14:paraId="66999B5A">
      <w:pPr>
        <w:rPr>
          <w:rFonts w:ascii="仿宋_GB2312" w:eastAsia="仿宋_GB2312"/>
          <w:sz w:val="32"/>
          <w:szCs w:val="32"/>
        </w:rPr>
      </w:pPr>
      <w:r>
        <w:rPr>
          <w:rFonts w:hint="eastAsia" w:ascii="仿宋_GB2312" w:eastAsia="仿宋_GB2312"/>
          <w:sz w:val="32"/>
          <w:szCs w:val="32"/>
        </w:rPr>
        <w:br w:type="page"/>
      </w:r>
    </w:p>
    <w:p w14:paraId="2DE9BD4A">
      <w:pPr>
        <w:rPr>
          <w:rFonts w:ascii="仿宋_GB2312" w:eastAsia="仿宋_GB2312"/>
          <w:sz w:val="32"/>
          <w:szCs w:val="32"/>
        </w:rPr>
      </w:pPr>
      <w:r>
        <w:rPr>
          <w:rFonts w:hint="eastAsia" w:ascii="仿宋_GB2312" w:eastAsia="仿宋_GB2312"/>
          <w:sz w:val="32"/>
          <w:szCs w:val="32"/>
        </w:rPr>
        <w:t>附件7</w:t>
      </w:r>
    </w:p>
    <w:p w14:paraId="7B0F8171">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1CE5C9C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367ACFB4">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207F024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43867DF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199B13F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6D5AD80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511D8B4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757633B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52AB8B90">
      <w:pPr>
        <w:spacing w:line="360" w:lineRule="auto"/>
        <w:ind w:firstLine="600" w:firstLineChars="200"/>
        <w:rPr>
          <w:rFonts w:ascii="仿宋_GB2312" w:hAnsi="仿宋_GB2312" w:eastAsia="仿宋_GB2312" w:cs="仿宋_GB2312"/>
          <w:bCs/>
          <w:sz w:val="30"/>
          <w:szCs w:val="30"/>
        </w:rPr>
      </w:pPr>
    </w:p>
    <w:p w14:paraId="1A15EC4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56154464">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08ED94D0">
      <w:pPr>
        <w:ind w:firstLine="640" w:firstLineChars="200"/>
        <w:rPr>
          <w:rFonts w:ascii="仿宋_GB2312" w:eastAsia="仿宋_GB2312"/>
          <w:sz w:val="32"/>
          <w:szCs w:val="32"/>
        </w:rPr>
      </w:pPr>
    </w:p>
    <w:p w14:paraId="1D7292EE">
      <w:pPr>
        <w:rPr>
          <w:rFonts w:ascii="仿宋_GB2312" w:eastAsia="仿宋_GB2312"/>
          <w:sz w:val="32"/>
          <w:szCs w:val="32"/>
        </w:rPr>
      </w:pPr>
      <w:r>
        <w:rPr>
          <w:rFonts w:hint="eastAsia" w:ascii="仿宋_GB2312" w:eastAsia="仿宋_GB2312"/>
          <w:sz w:val="32"/>
          <w:szCs w:val="32"/>
        </w:rPr>
        <w:t>附件8</w:t>
      </w:r>
    </w:p>
    <w:p w14:paraId="4F7B841C">
      <w:pPr>
        <w:spacing w:line="360" w:lineRule="auto"/>
        <w:ind w:firstLine="560" w:firstLineChars="200"/>
        <w:jc w:val="right"/>
        <w:rPr>
          <w:rFonts w:ascii="方正仿宋_GB2312" w:hAnsi="方正仿宋_GB2312" w:eastAsia="方正仿宋_GB2312" w:cs="方正仿宋_GB2312"/>
          <w:sz w:val="28"/>
          <w:szCs w:val="28"/>
        </w:rPr>
      </w:pPr>
      <w:bookmarkStart w:id="2" w:name="_Hlt510343011"/>
      <w:bookmarkStart w:id="3" w:name="_Toc12864220"/>
      <w:bookmarkStart w:id="4" w:name="_Hlt510342998"/>
      <w:r>
        <w:rPr>
          <w:rFonts w:hint="eastAsia" w:ascii="方正仿宋_GB2312" w:hAnsi="方正仿宋_GB2312" w:eastAsia="方正仿宋_GB2312" w:cs="方正仿宋_GB2312"/>
          <w:sz w:val="28"/>
          <w:szCs w:val="28"/>
        </w:rPr>
        <w:t xml:space="preserve"> CBJS-2025-0XX                                   </w:t>
      </w:r>
    </w:p>
    <w:p w14:paraId="5088033B">
      <w:pPr>
        <w:spacing w:line="360" w:lineRule="auto"/>
        <w:ind w:firstLine="560" w:firstLineChars="200"/>
        <w:jc w:val="right"/>
        <w:rPr>
          <w:rFonts w:ascii="方正仿宋_GB2312" w:hAnsi="方正仿宋_GB2312" w:eastAsia="方正仿宋_GB2312" w:cs="方正仿宋_GB2312"/>
          <w:sz w:val="28"/>
          <w:szCs w:val="28"/>
        </w:rPr>
      </w:pPr>
    </w:p>
    <w:p w14:paraId="0CF0DF34">
      <w:pPr>
        <w:spacing w:line="360" w:lineRule="auto"/>
        <w:jc w:val="center"/>
        <w:rPr>
          <w:rFonts w:ascii="黑体" w:hAnsi="黑体" w:eastAsia="黑体" w:cs="黑体"/>
          <w:b/>
          <w:sz w:val="52"/>
          <w:szCs w:val="52"/>
        </w:rPr>
      </w:pPr>
      <w:r>
        <w:rPr>
          <w:rFonts w:hint="eastAsia" w:ascii="黑体" w:hAnsi="黑体" w:eastAsia="黑体" w:cs="黑体"/>
          <w:b/>
          <w:sz w:val="52"/>
          <w:szCs w:val="52"/>
        </w:rPr>
        <w:t>和平路 P+R公共停车场机械车库</w:t>
      </w:r>
    </w:p>
    <w:p w14:paraId="0FAF8F88">
      <w:pPr>
        <w:spacing w:line="360" w:lineRule="auto"/>
        <w:jc w:val="center"/>
        <w:rPr>
          <w:rFonts w:ascii="黑体" w:hAnsi="黑体" w:eastAsia="黑体" w:cs="黑体"/>
          <w:b/>
          <w:sz w:val="52"/>
          <w:szCs w:val="52"/>
        </w:rPr>
      </w:pPr>
      <w:r>
        <w:rPr>
          <w:rFonts w:hint="eastAsia" w:ascii="黑体" w:hAnsi="黑体" w:eastAsia="黑体" w:cs="黑体"/>
          <w:b/>
          <w:sz w:val="52"/>
          <w:szCs w:val="52"/>
        </w:rPr>
        <w:t>维</w:t>
      </w:r>
    </w:p>
    <w:p w14:paraId="5D220C60">
      <w:pPr>
        <w:spacing w:line="360" w:lineRule="auto"/>
        <w:jc w:val="center"/>
        <w:rPr>
          <w:rFonts w:ascii="黑体" w:hAnsi="黑体" w:eastAsia="黑体" w:cs="黑体"/>
          <w:b/>
          <w:sz w:val="52"/>
          <w:szCs w:val="52"/>
        </w:rPr>
      </w:pPr>
      <w:r>
        <w:rPr>
          <w:rFonts w:hint="eastAsia" w:ascii="黑体" w:hAnsi="黑体" w:eastAsia="黑体" w:cs="黑体"/>
          <w:b/>
          <w:sz w:val="52"/>
          <w:szCs w:val="52"/>
        </w:rPr>
        <w:t>保</w:t>
      </w:r>
    </w:p>
    <w:p w14:paraId="7E41B303">
      <w:pPr>
        <w:spacing w:line="360" w:lineRule="auto"/>
        <w:jc w:val="center"/>
        <w:rPr>
          <w:rFonts w:ascii="黑体" w:hAnsi="黑体" w:eastAsia="黑体" w:cs="黑体"/>
          <w:b/>
          <w:sz w:val="52"/>
          <w:szCs w:val="52"/>
        </w:rPr>
      </w:pPr>
      <w:r>
        <w:rPr>
          <w:rFonts w:hint="eastAsia" w:ascii="黑体" w:hAnsi="黑体" w:eastAsia="黑体" w:cs="黑体"/>
          <w:b/>
          <w:sz w:val="52"/>
          <w:szCs w:val="52"/>
        </w:rPr>
        <w:t>合</w:t>
      </w:r>
    </w:p>
    <w:p w14:paraId="397D68C2">
      <w:pPr>
        <w:spacing w:line="360" w:lineRule="auto"/>
        <w:jc w:val="center"/>
        <w:rPr>
          <w:rFonts w:ascii="黑体" w:hAnsi="黑体" w:eastAsia="黑体" w:cs="黑体"/>
          <w:b/>
          <w:sz w:val="52"/>
          <w:szCs w:val="52"/>
        </w:rPr>
      </w:pPr>
      <w:r>
        <w:rPr>
          <w:rFonts w:hint="eastAsia" w:ascii="黑体" w:hAnsi="黑体" w:eastAsia="黑体" w:cs="黑体"/>
          <w:b/>
          <w:sz w:val="52"/>
          <w:szCs w:val="52"/>
        </w:rPr>
        <w:t>同</w:t>
      </w:r>
    </w:p>
    <w:p w14:paraId="1B28BF42">
      <w:pPr>
        <w:spacing w:line="360" w:lineRule="auto"/>
        <w:ind w:firstLine="562" w:firstLineChars="200"/>
        <w:jc w:val="center"/>
        <w:rPr>
          <w:rFonts w:ascii="方正仿宋_GB2312" w:hAnsi="方正仿宋_GB2312" w:eastAsia="方正仿宋_GB2312" w:cs="方正仿宋_GB2312"/>
          <w:b/>
          <w:sz w:val="28"/>
          <w:szCs w:val="28"/>
        </w:rPr>
      </w:pPr>
    </w:p>
    <w:p w14:paraId="053E0638">
      <w:pPr>
        <w:spacing w:line="360" w:lineRule="auto"/>
        <w:ind w:firstLine="562" w:firstLineChars="200"/>
        <w:jc w:val="center"/>
        <w:rPr>
          <w:rFonts w:ascii="方正仿宋_GB2312" w:hAnsi="方正仿宋_GB2312" w:eastAsia="方正仿宋_GB2312" w:cs="方正仿宋_GB2312"/>
          <w:b/>
          <w:sz w:val="28"/>
          <w:szCs w:val="28"/>
        </w:rPr>
      </w:pPr>
    </w:p>
    <w:p w14:paraId="37815182">
      <w:pPr>
        <w:spacing w:line="360" w:lineRule="auto"/>
        <w:ind w:firstLine="562" w:firstLineChars="200"/>
        <w:jc w:val="center"/>
        <w:rPr>
          <w:rFonts w:ascii="方正仿宋_GB2312" w:hAnsi="方正仿宋_GB2312" w:eastAsia="方正仿宋_GB2312" w:cs="方正仿宋_GB2312"/>
          <w:b/>
          <w:sz w:val="28"/>
          <w:szCs w:val="28"/>
        </w:rPr>
      </w:pPr>
    </w:p>
    <w:p w14:paraId="7720C6C8">
      <w:pPr>
        <w:spacing w:line="360" w:lineRule="auto"/>
        <w:ind w:firstLine="562" w:firstLineChars="200"/>
        <w:jc w:val="center"/>
        <w:rPr>
          <w:rFonts w:ascii="方正仿宋_GB2312" w:hAnsi="方正仿宋_GB2312" w:eastAsia="方正仿宋_GB2312" w:cs="方正仿宋_GB2312"/>
          <w:b/>
          <w:sz w:val="28"/>
          <w:szCs w:val="28"/>
        </w:rPr>
      </w:pPr>
    </w:p>
    <w:p w14:paraId="3F76EFB3">
      <w:pPr>
        <w:spacing w:line="360" w:lineRule="auto"/>
        <w:ind w:firstLine="562" w:firstLineChars="200"/>
        <w:jc w:val="center"/>
        <w:rPr>
          <w:rFonts w:ascii="方正仿宋_GB2312" w:hAnsi="方正仿宋_GB2312" w:eastAsia="方正仿宋_GB2312" w:cs="方正仿宋_GB2312"/>
          <w:b/>
          <w:sz w:val="28"/>
          <w:szCs w:val="28"/>
        </w:rPr>
      </w:pPr>
    </w:p>
    <w:p w14:paraId="50D68868">
      <w:pPr>
        <w:spacing w:line="360" w:lineRule="auto"/>
        <w:ind w:firstLine="562" w:firstLineChars="200"/>
        <w:jc w:val="center"/>
        <w:rPr>
          <w:rFonts w:ascii="方正仿宋_GB2312" w:hAnsi="方正仿宋_GB2312" w:eastAsia="方正仿宋_GB2312" w:cs="方正仿宋_GB2312"/>
          <w:b/>
          <w:sz w:val="28"/>
          <w:szCs w:val="28"/>
        </w:rPr>
      </w:pPr>
    </w:p>
    <w:p w14:paraId="513BEA94">
      <w:pPr>
        <w:spacing w:line="360" w:lineRule="auto"/>
        <w:rPr>
          <w:rFonts w:ascii="黑体" w:hAnsi="黑体" w:eastAsia="黑体" w:cs="黑体"/>
          <w:sz w:val="32"/>
          <w:szCs w:val="32"/>
        </w:rPr>
      </w:pPr>
      <w:r>
        <w:rPr>
          <w:rFonts w:hint="eastAsia" w:ascii="黑体" w:hAnsi="黑体" w:eastAsia="黑体" w:cs="黑体"/>
          <w:sz w:val="32"/>
          <w:szCs w:val="32"/>
        </w:rPr>
        <w:t>使用单位：合肥城市泊车投资管理有限公司瑶海分公司</w:t>
      </w:r>
    </w:p>
    <w:p w14:paraId="02A2FFB8">
      <w:pPr>
        <w:spacing w:line="360" w:lineRule="auto"/>
        <w:rPr>
          <w:rFonts w:ascii="黑体" w:hAnsi="黑体" w:eastAsia="黑体" w:cs="黑体"/>
          <w:sz w:val="32"/>
          <w:szCs w:val="32"/>
        </w:rPr>
      </w:pPr>
      <w:r>
        <w:rPr>
          <w:rFonts w:hint="eastAsia" w:ascii="黑体" w:hAnsi="黑体" w:eastAsia="黑体" w:cs="黑体"/>
          <w:sz w:val="32"/>
          <w:szCs w:val="32"/>
        </w:rPr>
        <w:t>维保单位：</w:t>
      </w:r>
    </w:p>
    <w:p w14:paraId="4238E20D">
      <w:pPr>
        <w:spacing w:line="360" w:lineRule="auto"/>
        <w:rPr>
          <w:rFonts w:ascii="黑体" w:hAnsi="黑体" w:eastAsia="黑体" w:cs="黑体"/>
          <w:sz w:val="32"/>
          <w:szCs w:val="32"/>
        </w:rPr>
      </w:pPr>
    </w:p>
    <w:p w14:paraId="1B44ED03">
      <w:pPr>
        <w:spacing w:line="360" w:lineRule="auto"/>
        <w:rPr>
          <w:rFonts w:ascii="黑体" w:hAnsi="黑体" w:eastAsia="黑体" w:cs="黑体"/>
          <w:sz w:val="32"/>
          <w:szCs w:val="32"/>
        </w:rPr>
      </w:pPr>
    </w:p>
    <w:p w14:paraId="3E453FDE">
      <w:pPr>
        <w:spacing w:line="360" w:lineRule="auto"/>
        <w:jc w:val="center"/>
        <w:rPr>
          <w:rFonts w:ascii="黑体" w:hAnsi="黑体" w:eastAsia="黑体" w:cs="黑体"/>
          <w:sz w:val="32"/>
          <w:szCs w:val="32"/>
        </w:rPr>
      </w:pPr>
      <w:r>
        <w:rPr>
          <w:rFonts w:hint="eastAsia" w:ascii="黑体" w:hAnsi="黑体" w:eastAsia="黑体" w:cs="黑体"/>
          <w:sz w:val="32"/>
          <w:szCs w:val="32"/>
        </w:rPr>
        <w:t>签订日期：  2025  年   月</w:t>
      </w:r>
    </w:p>
    <w:p w14:paraId="01AFEED6">
      <w:pPr>
        <w:jc w:val="center"/>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br w:type="page"/>
      </w:r>
    </w:p>
    <w:p w14:paraId="556A2A48">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甲方： 合肥城市泊车投资管理有限公司瑶海分公司</w:t>
      </w:r>
    </w:p>
    <w:p w14:paraId="64E5023E">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乙方：                                               </w:t>
      </w:r>
    </w:p>
    <w:p w14:paraId="4093FF8E">
      <w:pPr>
        <w:widowControl/>
        <w:spacing w:line="540" w:lineRule="exact"/>
        <w:ind w:firstLine="560" w:firstLineChars="200"/>
        <w:jc w:val="left"/>
        <w:rPr>
          <w:rFonts w:ascii="仿宋_GB2312" w:hAnsi="宋体" w:eastAsia="仿宋_GB2312" w:cs="仿宋_GB2312"/>
          <w:kern w:val="0"/>
          <w:sz w:val="28"/>
          <w:szCs w:val="28"/>
          <w:lang w:bidi="ar"/>
        </w:rPr>
      </w:pPr>
    </w:p>
    <w:p w14:paraId="08BFCE2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甲乙双方根据招投标文件，经过友好协商，就甲方所运营和平路P+R公共停车场机械停车设备的维护保养交由乙方负责事宜，为明确双方的权利和义务，本着公平诚实和信用的原则订立本合同，以便共同遵守。</w:t>
      </w:r>
    </w:p>
    <w:p w14:paraId="41550A75">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一、合同标的</w:t>
      </w:r>
    </w:p>
    <w:p w14:paraId="767F053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1.1 服务地点</w:t>
      </w:r>
    </w:p>
    <w:p w14:paraId="01F8F41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合肥市瑶海区东二环与和平路交口西南角和平路 P+R公共停车场。</w:t>
      </w:r>
    </w:p>
    <w:p w14:paraId="46B8E4C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1.2 设备情况</w:t>
      </w:r>
    </w:p>
    <w:p w14:paraId="3E2E937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设备类型：垂直升降梳齿式塔库</w:t>
      </w:r>
    </w:p>
    <w:p w14:paraId="1BDD45C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维保车位数量：140 个</w:t>
      </w:r>
    </w:p>
    <w:p w14:paraId="12C9D60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设备层数：地上11层</w:t>
      </w:r>
    </w:p>
    <w:p w14:paraId="6425A1D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1.3 维保期限</w:t>
      </w:r>
    </w:p>
    <w:p w14:paraId="12BF7FC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维保期限为 2025 年 11 月 1 日 至 2026 年 10 月 31 日，共 12个月。</w:t>
      </w:r>
    </w:p>
    <w:p w14:paraId="57954BE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1.4 续约条款</w:t>
      </w:r>
    </w:p>
    <w:p w14:paraId="158EDF7A">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服务期内，若乙方每季度考核得分均高于90分，且无重大违约行为，经双方协商一致，本合同可续签一年，最多续签一次。</w:t>
      </w:r>
    </w:p>
    <w:p w14:paraId="2520020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1.5 服务内容</w:t>
      </w:r>
    </w:p>
    <w:p w14:paraId="57FA443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维保范围详见本合同附件一《维保范围明细表》（与招标文件一致）。</w:t>
      </w:r>
    </w:p>
    <w:p w14:paraId="3718005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1.6 服务频率</w:t>
      </w:r>
    </w:p>
    <w:p w14:paraId="2ED20E4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日常巡检：每月不少于 2 次。</w:t>
      </w:r>
    </w:p>
    <w:p w14:paraId="4B7B941C">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定期保养：每季度一次。</w:t>
      </w:r>
    </w:p>
    <w:p w14:paraId="5EEDE4D7">
      <w:pPr>
        <w:widowControl/>
        <w:spacing w:line="540" w:lineRule="exact"/>
        <w:jc w:val="left"/>
        <w:rPr>
          <w:rFonts w:ascii="仿宋_GB2312" w:hAnsi="宋体" w:eastAsia="仿宋_GB2312" w:cs="仿宋_GB2312"/>
          <w:b/>
          <w:bCs/>
          <w:kern w:val="0"/>
          <w:sz w:val="28"/>
          <w:szCs w:val="28"/>
          <w:lang w:bidi="ar"/>
        </w:rPr>
      </w:pPr>
    </w:p>
    <w:p w14:paraId="6770F0CF">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二、合同价款</w:t>
      </w:r>
    </w:p>
    <w:p w14:paraId="72D313D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2.1 本合同为固定总价包干合同，合同总额为：人民币（大写）【    元整】（小写：￥【    】元），其中：不含税合同价款：￥【    】元，增值税（税率6%）：￥【    】元。</w:t>
      </w:r>
    </w:p>
    <w:p w14:paraId="26ACBC0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上述总价包含乙方履行本合同所需的全部费用（含人工、材料、运输、保险、技术服务、管理、利润、税费及风险等），除双方另行书面约定外，甲方不再支付任何额外费用，且在合同履行期间不予调整。</w:t>
      </w:r>
    </w:p>
    <w:p w14:paraId="4BB636E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2.2 合同价款分两期支付，具体安排如下：</w:t>
      </w:r>
    </w:p>
    <w:tbl>
      <w:tblPr>
        <w:tblStyle w:val="15"/>
        <w:tblW w:w="0" w:type="auto"/>
        <w:tblInd w:w="0" w:type="dxa"/>
        <w:tblBorders>
          <w:top w:val="none" w:color="auto" w:sz="0" w:space="0"/>
          <w:left w:val="single" w:color="auto" w:sz="2" w:space="0"/>
          <w:bottom w:val="none" w:color="auto" w:sz="0" w:space="0"/>
          <w:right w:val="single" w:color="auto" w:sz="2"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1575"/>
        <w:gridCol w:w="4000"/>
        <w:gridCol w:w="1191"/>
        <w:gridCol w:w="1930"/>
      </w:tblGrid>
      <w:tr w14:paraId="5A9C401E">
        <w:tblPrEx>
          <w:tblBorders>
            <w:top w:val="none" w:color="auto" w:sz="0" w:space="0"/>
            <w:left w:val="single" w:color="auto" w:sz="2" w:space="0"/>
            <w:bottom w:val="none" w:color="auto" w:sz="0" w:space="0"/>
            <w:right w:val="single" w:color="auto" w:sz="2" w:space="0"/>
            <w:insideH w:val="none" w:color="auto" w:sz="0" w:space="0"/>
            <w:insideV w:val="none" w:color="auto" w:sz="0" w:space="0"/>
          </w:tblBorders>
          <w:shd w:val="clear" w:color="auto" w:fill="FFFFFF"/>
          <w:tblCellMar>
            <w:top w:w="15" w:type="dxa"/>
            <w:left w:w="15" w:type="dxa"/>
            <w:bottom w:w="15" w:type="dxa"/>
            <w:right w:w="15" w:type="dxa"/>
          </w:tblCellMar>
        </w:tblPrEx>
        <w:tc>
          <w:tcPr>
            <w:tcW w:w="1575" w:type="dxa"/>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28642384">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付款阶段</w:t>
            </w:r>
          </w:p>
        </w:tc>
        <w:tc>
          <w:tcPr>
            <w:tcW w:w="4000" w:type="dxa"/>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24B34743">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付款条件</w:t>
            </w:r>
          </w:p>
        </w:tc>
        <w:tc>
          <w:tcPr>
            <w:tcW w:w="1191" w:type="dxa"/>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0CC193AF">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付款比例</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794B58D8">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付款金额（小写）</w:t>
            </w:r>
          </w:p>
        </w:tc>
      </w:tr>
      <w:tr w14:paraId="7C45D65C">
        <w:tblPrEx>
          <w:tblBorders>
            <w:top w:val="single" w:color="auto" w:sz="6" w:space="0"/>
            <w:left w:val="single" w:color="auto" w:sz="2" w:space="0"/>
            <w:bottom w:val="single" w:color="auto" w:sz="2" w:space="0"/>
            <w:right w:val="single" w:color="auto" w:sz="2" w:space="0"/>
            <w:insideH w:val="none" w:color="auto" w:sz="0" w:space="0"/>
            <w:insideV w:val="none" w:color="auto" w:sz="0" w:space="0"/>
          </w:tblBorders>
          <w:shd w:val="clear" w:color="auto" w:fill="FFFFFF"/>
          <w:tblCellMar>
            <w:top w:w="15" w:type="dxa"/>
            <w:left w:w="15" w:type="dxa"/>
            <w:bottom w:w="15" w:type="dxa"/>
            <w:right w:w="15" w:type="dxa"/>
          </w:tblCellMar>
        </w:tblPrEx>
        <w:tc>
          <w:tcPr>
            <w:tcW w:w="1575" w:type="dxa"/>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37549D3C">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第一期</w:t>
            </w:r>
          </w:p>
        </w:tc>
        <w:tc>
          <w:tcPr>
            <w:tcW w:w="4000" w:type="dxa"/>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4420D493">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乙方完成前6个月（2025年11月1日至2026年4月30日）维保服务，提交《月度维保记录》《季度维保报告》</w:t>
            </w:r>
          </w:p>
          <w:p w14:paraId="3A87D3B5">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全部服务文档并经甲方确认，乙方向甲方开具相应金额的增值税专用发票后3</w:t>
            </w:r>
            <w:r>
              <w:rPr>
                <w:rFonts w:ascii="仿宋_GB2312" w:hAnsi="宋体" w:eastAsia="仿宋_GB2312" w:cs="仿宋_GB2312"/>
                <w:kern w:val="0"/>
                <w:sz w:val="28"/>
                <w:szCs w:val="28"/>
                <w:lang w:bidi="ar"/>
              </w:rPr>
              <w:t>0</w:t>
            </w:r>
            <w:r>
              <w:rPr>
                <w:rFonts w:hint="eastAsia" w:ascii="仿宋_GB2312" w:hAnsi="宋体" w:eastAsia="仿宋_GB2312" w:cs="仿宋_GB2312"/>
                <w:kern w:val="0"/>
                <w:sz w:val="28"/>
                <w:szCs w:val="28"/>
                <w:lang w:bidi="ar"/>
              </w:rPr>
              <w:t>个工作日内。</w:t>
            </w:r>
          </w:p>
        </w:tc>
        <w:tc>
          <w:tcPr>
            <w:tcW w:w="1191" w:type="dxa"/>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07D1AB76">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50%</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11AB8624">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￥【_____】元</w:t>
            </w:r>
          </w:p>
        </w:tc>
      </w:tr>
      <w:tr w14:paraId="59DE83ED">
        <w:tblPrEx>
          <w:tblBorders>
            <w:top w:val="single" w:color="auto" w:sz="6" w:space="0"/>
            <w:left w:val="single" w:color="auto" w:sz="2" w:space="0"/>
            <w:bottom w:val="none" w:color="auto" w:sz="0" w:space="0"/>
            <w:right w:val="single" w:color="auto" w:sz="2" w:space="0"/>
            <w:insideH w:val="none" w:color="auto" w:sz="0" w:space="0"/>
            <w:insideV w:val="none" w:color="auto" w:sz="0" w:space="0"/>
          </w:tblBorders>
          <w:shd w:val="clear" w:color="auto" w:fill="FFFFFF"/>
          <w:tblCellMar>
            <w:top w:w="15" w:type="dxa"/>
            <w:left w:w="15" w:type="dxa"/>
            <w:bottom w:w="15" w:type="dxa"/>
            <w:right w:w="15" w:type="dxa"/>
          </w:tblCellMar>
        </w:tblPrEx>
        <w:tc>
          <w:tcPr>
            <w:tcW w:w="1575" w:type="dxa"/>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1E3D8BF9">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第二期</w:t>
            </w:r>
          </w:p>
        </w:tc>
        <w:tc>
          <w:tcPr>
            <w:tcW w:w="4000" w:type="dxa"/>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3A2F8F5F">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乙方完成后6个月（2026年5月1日至2026年10月31日）维保服务，提交《月度维保记录》《季度维保报告》全部服务文档并经甲方确认，乙方向甲方开具相应金额的增值税专用发票后3</w:t>
            </w:r>
            <w:r>
              <w:rPr>
                <w:rFonts w:ascii="仿宋_GB2312" w:hAnsi="宋体" w:eastAsia="仿宋_GB2312" w:cs="仿宋_GB2312"/>
                <w:kern w:val="0"/>
                <w:sz w:val="28"/>
                <w:szCs w:val="28"/>
                <w:lang w:bidi="ar"/>
              </w:rPr>
              <w:t>0</w:t>
            </w:r>
            <w:r>
              <w:rPr>
                <w:rFonts w:hint="eastAsia" w:ascii="仿宋_GB2312" w:hAnsi="宋体" w:eastAsia="仿宋_GB2312" w:cs="仿宋_GB2312"/>
                <w:kern w:val="0"/>
                <w:sz w:val="28"/>
                <w:szCs w:val="28"/>
                <w:lang w:bidi="ar"/>
              </w:rPr>
              <w:t>个工作日内。</w:t>
            </w:r>
          </w:p>
        </w:tc>
        <w:tc>
          <w:tcPr>
            <w:tcW w:w="1191" w:type="dxa"/>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4D9C0707">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50%</w:t>
            </w:r>
          </w:p>
        </w:tc>
        <w:tc>
          <w:tcPr>
            <w:tcW w:w="0" w:type="auto"/>
            <w:tcBorders>
              <w:top w:val="single" w:color="auto" w:sz="4" w:space="0"/>
              <w:left w:val="single" w:color="auto" w:sz="4" w:space="0"/>
              <w:bottom w:val="single" w:color="auto" w:sz="4" w:space="0"/>
              <w:right w:val="single" w:color="auto" w:sz="4" w:space="0"/>
            </w:tcBorders>
            <w:shd w:val="clear" w:color="auto" w:fill="FFFFFF"/>
            <w:tcMar>
              <w:top w:w="90" w:type="dxa"/>
              <w:left w:w="195" w:type="dxa"/>
              <w:bottom w:w="90" w:type="dxa"/>
              <w:right w:w="195" w:type="dxa"/>
            </w:tcMar>
            <w:vAlign w:val="center"/>
          </w:tcPr>
          <w:p w14:paraId="75C67760">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￥【_____】元</w:t>
            </w:r>
          </w:p>
        </w:tc>
      </w:tr>
    </w:tbl>
    <w:p w14:paraId="48780439">
      <w:pPr>
        <w:widowControl/>
        <w:spacing w:line="540" w:lineRule="exact"/>
        <w:jc w:val="left"/>
        <w:rPr>
          <w:rFonts w:ascii="仿宋_GB2312" w:hAnsi="宋体" w:eastAsia="仿宋_GB2312" w:cs="仿宋_GB2312"/>
          <w:kern w:val="0"/>
          <w:sz w:val="28"/>
          <w:szCs w:val="28"/>
          <w:lang w:bidi="ar"/>
        </w:rPr>
      </w:pPr>
    </w:p>
    <w:p w14:paraId="3F46D27A">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2.3 每次付款前，乙方应向甲方开具等额、合法、有效的增值税专用发票（税率为6%），发票内容应为“机械停车设备维护保养服务费”。若乙方未按时开具发票、开票错误或拒绝开票，甲方有权顺延付款且不承担违约责任。</w:t>
      </w:r>
    </w:p>
    <w:p w14:paraId="1B056F02">
      <w:pPr>
        <w:widowControl/>
        <w:spacing w:line="540" w:lineRule="exact"/>
        <w:ind w:firstLine="560" w:firstLineChars="200"/>
        <w:jc w:val="left"/>
        <w:rPr>
          <w:rFonts w:ascii="仿宋_GB2312" w:hAnsi="宋体" w:eastAsia="仿宋_GB2312" w:cs="仿宋_GB2312"/>
          <w:kern w:val="0"/>
          <w:sz w:val="28"/>
          <w:szCs w:val="28"/>
          <w:u w:val="single"/>
          <w:lang w:bidi="ar"/>
        </w:rPr>
      </w:pPr>
      <w:r>
        <w:rPr>
          <w:rFonts w:hint="eastAsia" w:ascii="仿宋_GB2312" w:hAnsi="宋体" w:eastAsia="仿宋_GB2312" w:cs="仿宋_GB2312"/>
          <w:kern w:val="0"/>
          <w:sz w:val="28"/>
          <w:szCs w:val="28"/>
          <w:lang w:bidi="ar"/>
        </w:rPr>
        <w:t>2.4 乙方指定收款账户信息如下：</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开 户 行：</w:t>
      </w:r>
      <w:r>
        <w:rPr>
          <w:rFonts w:hint="eastAsia" w:ascii="仿宋_GB2312" w:hAnsi="宋体" w:eastAsia="仿宋_GB2312" w:cs="仿宋_GB2312"/>
          <w:kern w:val="0"/>
          <w:sz w:val="28"/>
          <w:szCs w:val="28"/>
          <w:u w:val="single"/>
          <w:lang w:bidi="ar"/>
        </w:rPr>
        <w:t xml:space="preserve">                                          </w:t>
      </w:r>
    </w:p>
    <w:p w14:paraId="3A806DA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账户名称：</w:t>
      </w:r>
      <w:r>
        <w:rPr>
          <w:rFonts w:hint="eastAsia" w:ascii="仿宋_GB2312" w:hAnsi="宋体" w:eastAsia="仿宋_GB2312" w:cs="仿宋_GB2312"/>
          <w:kern w:val="0"/>
          <w:sz w:val="28"/>
          <w:szCs w:val="28"/>
          <w:u w:val="single"/>
          <w:lang w:bidi="ar"/>
        </w:rPr>
        <w:t xml:space="preserve">                                          </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账　  号：</w:t>
      </w:r>
      <w:r>
        <w:rPr>
          <w:rFonts w:hint="eastAsia" w:ascii="仿宋_GB2312" w:hAnsi="宋体" w:eastAsia="仿宋_GB2312" w:cs="仿宋_GB2312"/>
          <w:kern w:val="0"/>
          <w:sz w:val="28"/>
          <w:szCs w:val="28"/>
          <w:u w:val="single"/>
          <w:lang w:bidi="ar"/>
        </w:rPr>
        <w:t xml:space="preserve">                                          </w:t>
      </w:r>
    </w:p>
    <w:p w14:paraId="6BFB75E8">
      <w:pPr>
        <w:widowControl/>
        <w:spacing w:line="540" w:lineRule="exact"/>
        <w:ind w:firstLine="560" w:firstLineChars="200"/>
        <w:jc w:val="left"/>
        <w:rPr>
          <w:rFonts w:ascii="仿宋_GB2312" w:hAnsi="宋体" w:eastAsia="仿宋_GB2312" w:cs="仿宋_GB2312"/>
          <w:kern w:val="0"/>
          <w:sz w:val="28"/>
          <w:szCs w:val="28"/>
          <w:u w:val="single"/>
          <w:lang w:bidi="ar"/>
        </w:rPr>
      </w:pPr>
      <w:r>
        <w:rPr>
          <w:rFonts w:hint="eastAsia" w:ascii="仿宋_GB2312" w:hAnsi="宋体" w:eastAsia="仿宋_GB2312" w:cs="仿宋_GB2312"/>
          <w:kern w:val="0"/>
          <w:sz w:val="28"/>
          <w:szCs w:val="28"/>
          <w:lang w:bidi="ar"/>
        </w:rPr>
        <w:t>联 系 人：</w:t>
      </w:r>
      <w:r>
        <w:rPr>
          <w:rFonts w:hint="eastAsia" w:ascii="仿宋_GB2312" w:hAnsi="宋体" w:eastAsia="仿宋_GB2312" w:cs="仿宋_GB2312"/>
          <w:kern w:val="0"/>
          <w:sz w:val="28"/>
          <w:szCs w:val="28"/>
          <w:u w:val="single"/>
          <w:lang w:bidi="ar"/>
        </w:rPr>
        <w:t xml:space="preserve">                                          </w:t>
      </w:r>
    </w:p>
    <w:p w14:paraId="28E7481C">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乙方应确保账户信息真实有效。如需变更，须提前7日以加盖公章的书面通知告知甲方，否则甲方付款至原账户视为有效。</w:t>
      </w:r>
    </w:p>
    <w:p w14:paraId="4BC6135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2.5甲方开票信息（指定）：</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单位名称：合肥城市泊车投资管理有限公司瑶海分公司</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纳税人识别号：91340100MA2NA18K3L</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地　　址：合肥市瑶海区长江东路1052号3栋302室</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电　　话：0551-63636880</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开 户 行：中国建设银行合肥濉溪路支行</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账　　号：34050146380800000251</w:t>
      </w:r>
    </w:p>
    <w:p w14:paraId="08E0E127">
      <w:pPr>
        <w:widowControl/>
        <w:spacing w:line="540" w:lineRule="exact"/>
        <w:jc w:val="left"/>
        <w:rPr>
          <w:rFonts w:ascii="仿宋_GB2312" w:hAnsi="宋体" w:eastAsia="仿宋_GB2312" w:cs="仿宋_GB2312"/>
          <w:b/>
          <w:bCs/>
          <w:kern w:val="0"/>
          <w:sz w:val="28"/>
          <w:szCs w:val="28"/>
          <w:lang w:bidi="ar"/>
        </w:rPr>
      </w:pPr>
    </w:p>
    <w:p w14:paraId="362A41E7">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三、质量要求和技术标准</w:t>
      </w:r>
    </w:p>
    <w:p w14:paraId="0E2EFF4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3.1 执行标准</w:t>
      </w:r>
    </w:p>
    <w:p w14:paraId="3C032D4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严格遵循以下国家及行业标准：</w:t>
      </w:r>
    </w:p>
    <w:p w14:paraId="60EC5C9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·GB/T 31052.11-2015《起重机械 检查与维护规程 第十一部分：机械式停车设备》</w:t>
      </w:r>
    </w:p>
    <w:p w14:paraId="66A8493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·GB/T 17907-2010《机械式停车设备 通用安全要求》</w:t>
      </w:r>
    </w:p>
    <w:p w14:paraId="610CDC2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·TSG 08-2017《特种设备使用管理规则》</w:t>
      </w:r>
    </w:p>
    <w:p w14:paraId="4567A27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·GB 50017-2017《钢结构设计标准》</w:t>
      </w:r>
    </w:p>
    <w:p w14:paraId="33D042D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·GB 50169-2016《电气装置安装工程接地装置施工及验收规范》</w:t>
      </w:r>
    </w:p>
    <w:p w14:paraId="57A1E263">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·JB/T 10215-2020《垂直循环类机械式停车设备》</w:t>
      </w:r>
    </w:p>
    <w:p w14:paraId="7876E27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·所有操作必须符合设备原厂技术手册要求，使用原厂或同等质量认证备件。</w:t>
      </w:r>
    </w:p>
    <w:p w14:paraId="03DA6AF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3.2 服务质量要求</w:t>
      </w:r>
    </w:p>
    <w:p w14:paraId="6D462BB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（1）接到故障报修通知后，10分钟内电话响应，一般故障 2小时内 到场，24小时内 修复；严重故障（如车辆被困）1小时内 到场，24小时内恢复基本功能。</w:t>
      </w:r>
    </w:p>
    <w:p w14:paraId="38080F3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（2）安全保护装置（防坠落、紧急停止、人车误入检测等）完好率100%，每季度测试记录齐全。</w:t>
      </w:r>
    </w:p>
    <w:p w14:paraId="283C245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（3）润滑系统工作正常，关键传动部位润滑周期符合原厂要求。</w:t>
      </w:r>
    </w:p>
    <w:p w14:paraId="264A1CE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（4）电气控制系统运行稳定，无异常报警或误动作。</w:t>
      </w:r>
    </w:p>
    <w:p w14:paraId="0442BB5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（5）结构件无明显变形、裂纹、锈蚀，连接螺栓无松动。</w:t>
      </w:r>
    </w:p>
    <w:p w14:paraId="0F196C5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（6）年度检验一次性通过率100%，确保设备取得特种设备检验合格报告。</w:t>
      </w:r>
    </w:p>
    <w:p w14:paraId="5D5D415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（7）乙方应使用原厂或同等质量等级认证的备品备件进行更换维修，更换前须向甲方说明品牌、型号及技术参数，征得甲方书面同意后方可实施。</w:t>
      </w:r>
    </w:p>
    <w:p w14:paraId="5DA1296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3.3 应急响应机制</w:t>
      </w:r>
    </w:p>
    <w:p w14:paraId="0ABE637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乙方须建立7×24小时应急响应机制，具体时效要求如下：</w:t>
      </w:r>
    </w:p>
    <w:tbl>
      <w:tblPr>
        <w:tblStyle w:val="16"/>
        <w:tblW w:w="0" w:type="auto"/>
        <w:tblInd w:w="120" w:type="dxa"/>
        <w:tblBorders>
          <w:top w:val="single" w:color="080F17" w:sz="6" w:space="0"/>
          <w:left w:val="single" w:color="080F17" w:sz="6" w:space="0"/>
          <w:bottom w:val="single" w:color="080F17" w:sz="6" w:space="0"/>
          <w:right w:val="single" w:color="080F17" w:sz="6" w:space="0"/>
          <w:insideH w:val="single" w:color="080F17" w:sz="6" w:space="0"/>
          <w:insideV w:val="single" w:color="080F17" w:sz="6" w:space="0"/>
        </w:tblBorders>
        <w:tblLayout w:type="autofit"/>
        <w:tblCellMar>
          <w:top w:w="30" w:type="dxa"/>
          <w:left w:w="180" w:type="dxa"/>
          <w:bottom w:w="30" w:type="dxa"/>
          <w:right w:w="180" w:type="dxa"/>
        </w:tblCellMar>
      </w:tblPr>
      <w:tblGrid>
        <w:gridCol w:w="1513"/>
        <w:gridCol w:w="6768"/>
      </w:tblGrid>
      <w:tr w14:paraId="7E1422DA">
        <w:tblPrEx>
          <w:tblBorders>
            <w:top w:val="single" w:color="080F17" w:sz="6" w:space="0"/>
            <w:left w:val="single" w:color="080F17" w:sz="6" w:space="0"/>
            <w:bottom w:val="single" w:color="080F17" w:sz="6" w:space="0"/>
            <w:right w:val="single" w:color="080F17" w:sz="6" w:space="0"/>
            <w:insideH w:val="single" w:color="080F17" w:sz="6" w:space="0"/>
            <w:insideV w:val="single" w:color="080F17" w:sz="6" w:space="0"/>
          </w:tblBorders>
          <w:tblCellMar>
            <w:top w:w="30" w:type="dxa"/>
            <w:left w:w="180" w:type="dxa"/>
            <w:bottom w:w="30" w:type="dxa"/>
            <w:right w:w="180" w:type="dxa"/>
          </w:tblCellMar>
        </w:tblPrEx>
        <w:trPr>
          <w:trHeight w:val="57" w:hRule="atLeast"/>
        </w:trPr>
        <w:tc>
          <w:tcPr>
            <w:tcW w:w="1513" w:type="dxa"/>
          </w:tcPr>
          <w:p w14:paraId="44FA4FD4">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事项</w:t>
            </w:r>
          </w:p>
        </w:tc>
        <w:tc>
          <w:tcPr>
            <w:tcW w:w="6768" w:type="dxa"/>
          </w:tcPr>
          <w:p w14:paraId="51D54710">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时效要求</w:t>
            </w:r>
          </w:p>
        </w:tc>
      </w:tr>
      <w:tr w14:paraId="39D4FA3A">
        <w:tblPrEx>
          <w:tblBorders>
            <w:top w:val="single" w:color="080F17" w:sz="6" w:space="0"/>
            <w:left w:val="single" w:color="080F17" w:sz="6" w:space="0"/>
            <w:bottom w:val="single" w:color="080F17" w:sz="6" w:space="0"/>
            <w:right w:val="single" w:color="080F17" w:sz="6" w:space="0"/>
            <w:insideH w:val="single" w:color="080F17" w:sz="6" w:space="0"/>
            <w:insideV w:val="single" w:color="080F17" w:sz="6" w:space="0"/>
          </w:tblBorders>
          <w:tblCellMar>
            <w:top w:w="30" w:type="dxa"/>
            <w:left w:w="180" w:type="dxa"/>
            <w:bottom w:w="30" w:type="dxa"/>
            <w:right w:w="180" w:type="dxa"/>
          </w:tblCellMar>
        </w:tblPrEx>
        <w:trPr>
          <w:trHeight w:val="57" w:hRule="atLeast"/>
        </w:trPr>
        <w:tc>
          <w:tcPr>
            <w:tcW w:w="1513" w:type="dxa"/>
          </w:tcPr>
          <w:p w14:paraId="6589F091">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电话响应</w:t>
            </w:r>
          </w:p>
        </w:tc>
        <w:tc>
          <w:tcPr>
            <w:tcW w:w="6768" w:type="dxa"/>
          </w:tcPr>
          <w:p w14:paraId="77DECFC0">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7×24小时服务热线，接到报修后 10分钟内 响应</w:t>
            </w:r>
          </w:p>
        </w:tc>
      </w:tr>
      <w:tr w14:paraId="33020BD0">
        <w:tblPrEx>
          <w:tblBorders>
            <w:top w:val="single" w:color="080F17" w:sz="6" w:space="0"/>
            <w:left w:val="single" w:color="080F17" w:sz="6" w:space="0"/>
            <w:bottom w:val="single" w:color="080F17" w:sz="6" w:space="0"/>
            <w:right w:val="single" w:color="080F17" w:sz="6" w:space="0"/>
            <w:insideH w:val="single" w:color="080F17" w:sz="6" w:space="0"/>
            <w:insideV w:val="single" w:color="080F17" w:sz="6" w:space="0"/>
          </w:tblBorders>
          <w:tblCellMar>
            <w:top w:w="30" w:type="dxa"/>
            <w:left w:w="180" w:type="dxa"/>
            <w:bottom w:w="30" w:type="dxa"/>
            <w:right w:w="180" w:type="dxa"/>
          </w:tblCellMar>
        </w:tblPrEx>
        <w:trPr>
          <w:trHeight w:val="57" w:hRule="atLeast"/>
        </w:trPr>
        <w:tc>
          <w:tcPr>
            <w:tcW w:w="1513" w:type="dxa"/>
          </w:tcPr>
          <w:p w14:paraId="3A90581D">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现场到达</w:t>
            </w:r>
          </w:p>
        </w:tc>
        <w:tc>
          <w:tcPr>
            <w:tcW w:w="6768" w:type="dxa"/>
          </w:tcPr>
          <w:p w14:paraId="4E913098">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一般故障：≤2小时；严重故障（如车辆被困）：≤1小时</w:t>
            </w:r>
          </w:p>
        </w:tc>
      </w:tr>
      <w:tr w14:paraId="4F0A5AC6">
        <w:tblPrEx>
          <w:tblBorders>
            <w:top w:val="single" w:color="080F17" w:sz="6" w:space="0"/>
            <w:left w:val="single" w:color="080F17" w:sz="6" w:space="0"/>
            <w:bottom w:val="single" w:color="080F17" w:sz="6" w:space="0"/>
            <w:right w:val="single" w:color="080F17" w:sz="6" w:space="0"/>
            <w:insideH w:val="single" w:color="080F17" w:sz="6" w:space="0"/>
            <w:insideV w:val="single" w:color="080F17" w:sz="6" w:space="0"/>
          </w:tblBorders>
        </w:tblPrEx>
        <w:trPr>
          <w:trHeight w:val="57" w:hRule="atLeast"/>
        </w:trPr>
        <w:tc>
          <w:tcPr>
            <w:tcW w:w="1513" w:type="dxa"/>
          </w:tcPr>
          <w:p w14:paraId="708C072C">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故障修复</w:t>
            </w:r>
          </w:p>
        </w:tc>
        <w:tc>
          <w:tcPr>
            <w:tcW w:w="6768" w:type="dxa"/>
          </w:tcPr>
          <w:p w14:paraId="46FC104E">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一般故障：≤4小时；严重故障：≤24小时内恢复基本功能</w:t>
            </w:r>
          </w:p>
        </w:tc>
      </w:tr>
    </w:tbl>
    <w:p w14:paraId="5B4940FC">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3.4 紧急故障用户保障承诺</w:t>
      </w:r>
    </w:p>
    <w:p w14:paraId="244EE25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乙方须在本合同签署前，提交《紧急故障用户保障承诺》，作为本合同的附件之一。</w:t>
      </w:r>
    </w:p>
    <w:p w14:paraId="014DA81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3.5 维保档案管理</w:t>
      </w:r>
    </w:p>
    <w:p w14:paraId="1B36C36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应建立完整的维保档案，包括但不限于：月度巡检记录表、季度维保服务报告、故障处理记录单、零部件更换记录、安全装置测试记录、紧急抢修记录。上述文档应在每季度结束后5个工作日内提交甲方归档，作为服务验收和付款依据。每次作业后24小时内，应向甲方提交含时间、地点水印的现场照片及电子版维保报告。</w:t>
      </w:r>
    </w:p>
    <w:p w14:paraId="1EF293EB">
      <w:pPr>
        <w:widowControl/>
        <w:spacing w:line="540" w:lineRule="exact"/>
        <w:ind w:firstLine="560" w:firstLineChars="200"/>
        <w:jc w:val="left"/>
        <w:rPr>
          <w:rFonts w:ascii="仿宋_GB2312" w:hAnsi="宋体" w:eastAsia="仿宋_GB2312" w:cs="仿宋_GB2312"/>
          <w:kern w:val="0"/>
          <w:sz w:val="28"/>
          <w:szCs w:val="28"/>
          <w:lang w:bidi="ar"/>
        </w:rPr>
      </w:pPr>
    </w:p>
    <w:p w14:paraId="5B217360">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四、双方权利义务</w:t>
      </w:r>
    </w:p>
    <w:p w14:paraId="2D5419A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4.1 甲方权利与义务</w:t>
      </w:r>
    </w:p>
    <w:p w14:paraId="0E681F4A">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（1）有权对乙方的维护保养工作进行监督、检查和考核，提出整改要求；</w:t>
      </w:r>
    </w:p>
    <w:p w14:paraId="4B851FA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（2）有权要求乙方更换不符合资质或履职不力的维保人员；</w:t>
      </w:r>
    </w:p>
    <w:p w14:paraId="4D1BB48A">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（3）应按合同约定及时确认服务成果、接收文档资料，并在收到合规发票后按时支付合同款项；</w:t>
      </w:r>
    </w:p>
    <w:p w14:paraId="3AE9E36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（4）应为乙方提供必要的现场作业条件，包括但不限于：电源接入、安全警示标识配合等；</w:t>
      </w:r>
    </w:p>
    <w:p w14:paraId="39C6CFD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（5）应指定专人（姓名：</w:t>
      </w:r>
      <w:r>
        <w:rPr>
          <w:rFonts w:ascii="仿宋_GB2312" w:hAnsi="宋体" w:eastAsia="仿宋_GB2312" w:cs="仿宋_GB2312"/>
          <w:kern w:val="0"/>
          <w:sz w:val="28"/>
          <w:szCs w:val="28"/>
          <w:u w:val="single"/>
          <w:lang w:bidi="ar"/>
        </w:rPr>
        <w:t xml:space="preserve">       </w:t>
      </w:r>
      <w:r>
        <w:rPr>
          <w:rFonts w:hint="eastAsia" w:ascii="仿宋_GB2312" w:hAnsi="宋体" w:eastAsia="仿宋_GB2312" w:cs="仿宋_GB2312"/>
          <w:kern w:val="0"/>
          <w:sz w:val="28"/>
          <w:szCs w:val="28"/>
          <w:lang w:bidi="ar"/>
        </w:rPr>
        <w:t>，联系电话：</w:t>
      </w:r>
      <w:r>
        <w:rPr>
          <w:rFonts w:hint="eastAsia" w:ascii="仿宋_GB2312" w:hAnsi="宋体" w:eastAsia="仿宋_GB2312" w:cs="仿宋_GB2312"/>
          <w:kern w:val="0"/>
          <w:sz w:val="28"/>
          <w:szCs w:val="28"/>
          <w:u w:val="single"/>
          <w:lang w:bidi="ar"/>
        </w:rPr>
        <w:t xml:space="preserve"> </w:t>
      </w:r>
      <w:r>
        <w:rPr>
          <w:rFonts w:ascii="仿宋_GB2312" w:hAnsi="宋体" w:eastAsia="仿宋_GB2312" w:cs="仿宋_GB2312"/>
          <w:kern w:val="0"/>
          <w:sz w:val="28"/>
          <w:szCs w:val="28"/>
          <w:u w:val="single"/>
          <w:lang w:bidi="ar"/>
        </w:rPr>
        <w:t xml:space="preserve">          </w:t>
      </w:r>
      <w:r>
        <w:rPr>
          <w:rFonts w:hint="eastAsia" w:ascii="仿宋_GB2312" w:hAnsi="宋体" w:eastAsia="仿宋_GB2312" w:cs="仿宋_GB2312"/>
          <w:kern w:val="0"/>
          <w:sz w:val="28"/>
          <w:szCs w:val="28"/>
          <w:lang w:bidi="ar"/>
        </w:rPr>
        <w:t>）作为项目对接人，负责日常沟通、故障通知、文档签收等工作；</w:t>
      </w:r>
    </w:p>
    <w:p w14:paraId="1B2180D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（6）如因甲方人为操作失误导致设备故障或损失，相关责任及损失由甲方自行承担。</w:t>
      </w:r>
    </w:p>
    <w:p w14:paraId="6F58A85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4.2 乙方权利与义务</w:t>
      </w:r>
    </w:p>
    <w:p w14:paraId="373F3BE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（1）有权依据合同约定收取维护保养服务费用；</w:t>
      </w:r>
    </w:p>
    <w:p w14:paraId="0FEA7B4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（2）应严格按照国家技术标准、原厂手册及本合同约定开展维护保养工作，建立7×24小时应急响应机制，确保设备安全、稳定运行；</w:t>
      </w:r>
    </w:p>
    <w:p w14:paraId="3187B1D3">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（3）应对维保作业全过程负责，采取必要安全防护措施，作业人员须具备相应特种作业资质。严禁非操作人员进入设备运行区域。因乙方原因导致的安全事故、人身伤害或财产损失，由乙方承担全部责任；</w:t>
      </w:r>
    </w:p>
    <w:p w14:paraId="3DBDC87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（4）应为所有维保人员依法足额购买工伤保险，并投保不低于人民币【</w:t>
      </w:r>
      <w:r>
        <w:rPr>
          <w:rFonts w:ascii="仿宋_GB2312" w:hAnsi="宋体" w:eastAsia="仿宋_GB2312" w:cs="仿宋_GB2312"/>
          <w:kern w:val="0"/>
          <w:sz w:val="28"/>
          <w:szCs w:val="28"/>
          <w:u w:val="single"/>
          <w:lang w:bidi="ar"/>
        </w:rPr>
        <w:t xml:space="preserve">          </w:t>
      </w:r>
      <w:r>
        <w:rPr>
          <w:rFonts w:hint="eastAsia" w:ascii="仿宋_GB2312" w:hAnsi="宋体" w:eastAsia="仿宋_GB2312" w:cs="仿宋_GB2312"/>
          <w:kern w:val="0"/>
          <w:sz w:val="28"/>
          <w:szCs w:val="28"/>
          <w:lang w:bidi="ar"/>
        </w:rPr>
        <w:t>】万元的商业人身意外伤害保险和安全生产责任险，保险单应在人员进场前提交甲方备案；</w:t>
      </w:r>
    </w:p>
    <w:p w14:paraId="34C13F4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（5）乙方变更维保人员、项目联系人、报修电话或应急响应联系方式的，须提前10个工作日向甲方提交书面通知；</w:t>
      </w:r>
    </w:p>
    <w:p w14:paraId="74A52E6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（6）乙方应负责采集、生成并管理全部维保记录，每次作业后24小时内向甲方提交现场照片及电子版报告，每季度结束后5个工作日内提交季度维保总结报告；</w:t>
      </w:r>
    </w:p>
    <w:p w14:paraId="7FF30F2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（7）更换备品备件应使用原厂配件或经甲方书面认可的替代品，更换前须提供品牌、型号、技术参数及合格证明；</w:t>
      </w:r>
    </w:p>
    <w:p w14:paraId="2A99E35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（8）如需对设备进行改造、加装等超出本合同范围的作业，须事先书面通知甲方，经同意后另行签订补充合同；</w:t>
      </w:r>
    </w:p>
    <w:p w14:paraId="6CB2C6FC">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（9）作业完成后应清理现场，做到“工完场清”，并遵守甲方规章制度，不得从事有损甲方形象的行为；</w:t>
      </w:r>
    </w:p>
    <w:p w14:paraId="2188979A">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（10）应对在服务过程中知悉的设备参数、运行数据、系统密码等信息承担保密义务，未经甲方同意不得向第三方披露，该义务在合同终止后持续有效。</w:t>
      </w:r>
    </w:p>
    <w:p w14:paraId="102CB1B6">
      <w:pPr>
        <w:widowControl/>
        <w:spacing w:line="540" w:lineRule="exact"/>
        <w:jc w:val="left"/>
        <w:rPr>
          <w:rFonts w:ascii="仿宋_GB2312" w:hAnsi="宋体" w:eastAsia="仿宋_GB2312" w:cs="仿宋_GB2312"/>
          <w:b/>
          <w:bCs/>
          <w:kern w:val="0"/>
          <w:sz w:val="28"/>
          <w:szCs w:val="28"/>
          <w:lang w:bidi="ar"/>
        </w:rPr>
      </w:pPr>
    </w:p>
    <w:p w14:paraId="1DAA4087">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五、违约责任</w:t>
      </w:r>
    </w:p>
    <w:p w14:paraId="277A315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5.1甲方逾期付款责任</w:t>
      </w:r>
    </w:p>
    <w:p w14:paraId="15C4B11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甲方未按约定支付维保费用的，每逾期一日，应按应付未付款项的万分之一（日利率0.0</w:t>
      </w: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%）向乙方支付违约金；违约金总额不超过应付未付款项的5%。甲方支付上述违约金后，不再承担其他违约责任。</w:t>
      </w:r>
    </w:p>
    <w:p w14:paraId="35C9FC2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5.2乙方一般违约情形</w:t>
      </w:r>
    </w:p>
    <w:p w14:paraId="20DAF3E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乙方存在以下情形之一的，甲方有权按次扣减当期服务费（每次上限500元）：</w:t>
      </w:r>
    </w:p>
    <w:p w14:paraId="0ACBC44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（1）未提前5个工作日以书面形式通知甲方变更服务人员、联系人、报修电话或应急响应联系方式；</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 xml:space="preserve"> （2）未按行业规范或甲方管理制度进行作业，未及时清理现场，影响甲方形象，或违反现场安全管理要求；</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 xml:space="preserve"> （3）提交虚假维保记录（如未实际维保却伪造签字）、维保内容与实际服务不符，或未按要求保存原始记录供甲方核查；</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 xml:space="preserve"> （4）接到紧急故障报修通知后，未在承诺时限（如60分钟）内到场处理，导致甲方业务中断；</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 xml:space="preserve"> （5）未在约定时间内完成设备修复，且预计维修时间将超过约定时限（如24小时）时，未提前书面通知甲方说明原因及预计完成时间；</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 xml:space="preserve"> （6）未按合同约定的频次、维保项目、技术标准或验收要求提供维保服务；</w:t>
      </w:r>
      <w:r>
        <w:rPr>
          <w:rFonts w:hint="eastAsia" w:ascii="仿宋_GB2312" w:hAnsi="宋体" w:eastAsia="仿宋_GB2312" w:cs="仿宋_GB2312"/>
          <w:kern w:val="0"/>
          <w:sz w:val="28"/>
          <w:szCs w:val="28"/>
          <w:lang w:bidi="ar"/>
        </w:rPr>
        <w:br w:type="textWrapping"/>
      </w:r>
      <w:r>
        <w:rPr>
          <w:rFonts w:hint="eastAsia" w:ascii="仿宋_GB2312" w:hAnsi="宋体" w:eastAsia="仿宋_GB2312" w:cs="仿宋_GB2312"/>
          <w:kern w:val="0"/>
          <w:sz w:val="28"/>
          <w:szCs w:val="28"/>
          <w:lang w:bidi="ar"/>
        </w:rPr>
        <w:tab/>
      </w:r>
      <w:r>
        <w:rPr>
          <w:rFonts w:hint="eastAsia" w:ascii="仿宋_GB2312" w:hAnsi="宋体" w:eastAsia="仿宋_GB2312" w:cs="仿宋_GB2312"/>
          <w:kern w:val="0"/>
          <w:sz w:val="28"/>
          <w:szCs w:val="28"/>
          <w:lang w:bidi="ar"/>
        </w:rPr>
        <w:t xml:space="preserve"> （7）维保服务验收不合格，经甲方书面通知整改后，未在指定期限内完成整改或整改后仍不合格。</w:t>
      </w:r>
    </w:p>
    <w:p w14:paraId="4636A09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5.3乙方严重违约责任（单方解除）</w:t>
      </w:r>
    </w:p>
    <w:p w14:paraId="38BB291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乙方出现以下情形之一的，甲方有权单方解除合同，乙方应支付合同总金额20%的违约金并赔偿全部损失：</w:t>
      </w:r>
    </w:p>
    <w:p w14:paraId="7F24B46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（1）因维保不当、操作失误或安全管理缺失导致人员伤亡，或直接经济损失≥10万元。</w:t>
      </w:r>
    </w:p>
    <w:p w14:paraId="3E295A63">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（2）一般违约行为（5.2规定）在一个自然月内累计达3次。</w:t>
      </w:r>
    </w:p>
    <w:p w14:paraId="537D5DC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（3）未经书面同意，将维保服务的全部或部分工作转交给第三方（转包或擅自分包）。</w:t>
      </w:r>
    </w:p>
    <w:p w14:paraId="0B82B47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（4）提供伪造、变造或使用过期的资质文件。</w:t>
      </w:r>
    </w:p>
    <w:p w14:paraId="3053178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（5）拒绝或拖延履行合同主要义务，且在书面通知后的10个工作日内仍未履行。</w:t>
      </w:r>
    </w:p>
    <w:p w14:paraId="7EBA29AC">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（6）违反合同中的保密条款，泄露甲方的商业秘密或技术秘密。</w:t>
      </w:r>
    </w:p>
    <w:p w14:paraId="46DD9BF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（7）在履行合同过程中违反相关法律法规，导致合同无法正常履行或给甲方造成损失。</w:t>
      </w:r>
    </w:p>
    <w:p w14:paraId="3EB4ABD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（8）出现其他严重违约行为，经合理判断，该行为对合同履行或甲方利益造成重大不利影响。</w:t>
      </w:r>
    </w:p>
    <w:p w14:paraId="34314CE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5.4第三方索赔责任</w:t>
      </w:r>
    </w:p>
    <w:p w14:paraId="625FB55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因乙方违约导致甲方被第三方索赔的，乙方须在收到甲方转交索赔通知后15日内按索赔金额全额支付。损失范围包括：直接经济损失；甲方为维权支出的合理费用（律师费、诉讼费、鉴定费、差旅费、行政处罚罚款等）。</w:t>
      </w:r>
    </w:p>
    <w:p w14:paraId="0CBCEE1A">
      <w:pPr>
        <w:widowControl/>
        <w:spacing w:line="540" w:lineRule="exact"/>
        <w:jc w:val="left"/>
        <w:rPr>
          <w:rFonts w:ascii="仿宋_GB2312" w:hAnsi="宋体" w:eastAsia="仿宋_GB2312" w:cs="仿宋_GB2312"/>
          <w:b/>
          <w:bCs/>
          <w:kern w:val="0"/>
          <w:sz w:val="28"/>
          <w:szCs w:val="28"/>
          <w:lang w:bidi="ar"/>
        </w:rPr>
      </w:pPr>
    </w:p>
    <w:p w14:paraId="47071BF5">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六、知识产权及保密条款</w:t>
      </w:r>
    </w:p>
    <w:p w14:paraId="76C86EE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6.1乙方须保障甲方在中国使用其货物、服务及其任何部分不受到第三方关于侵犯任何知识产权的指控。第三方如果提出侵权指控，乙方须与第三方交涉并承担可能发生的一切法律责任和费用。</w:t>
      </w:r>
    </w:p>
    <w:p w14:paraId="0253792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6.2甲方向乙方提供的资料（包括但不限于文字资料、图片、音像作品）的知识产权均属甲方所有，除用于本合同之目的，乙方不得以任何方式使用。本合同项下的创作成果的知识产权归属甲方所有，乙方不得在未经甲方书面同意的情况下将创作成果用于与完成本合同规定的委托事项之外的任何用途。</w:t>
      </w:r>
    </w:p>
    <w:p w14:paraId="575B699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6.3乙方应对甲方提供的或在本合同履行过程中接触到的一切有关甲方的信息、资料予以保密，特别是甲方的市场推广、策划方案的部分或全部及本合同内容严格保守秘密，未经甲方书面许可，不得向任何第三方透露；否则，应向甲方支付合同总额的 20%作为违约金，除此给甲方造成实际损失的，应按实际损失额向甲方赔偿相应损失。</w:t>
      </w:r>
    </w:p>
    <w:p w14:paraId="68EDB37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6.4乙方应采取必要措施保证其员工无论是在职中还是离职后均承担同样的保密义务。</w:t>
      </w:r>
    </w:p>
    <w:p w14:paraId="020A101C">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6.5本合同变更、解除和终止后保密条款对双方仍有约束力。若甲乙双方另行签订商业保密合同，则该合同与本条具有同等效力，不一致的部分以商业保密合同的约定为准。</w:t>
      </w:r>
    </w:p>
    <w:p w14:paraId="5718A0AB">
      <w:pPr>
        <w:widowControl/>
        <w:spacing w:line="540" w:lineRule="exact"/>
        <w:jc w:val="left"/>
        <w:rPr>
          <w:rFonts w:ascii="仿宋_GB2312" w:hAnsi="宋体" w:eastAsia="仿宋_GB2312" w:cs="仿宋_GB2312"/>
          <w:b/>
          <w:bCs/>
          <w:kern w:val="0"/>
          <w:sz w:val="28"/>
          <w:szCs w:val="28"/>
          <w:lang w:bidi="ar"/>
        </w:rPr>
      </w:pPr>
    </w:p>
    <w:p w14:paraId="66D89730">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七、送达地址</w:t>
      </w:r>
    </w:p>
    <w:p w14:paraId="1E2CFFD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7.1根据本合同需要发出的全部通知以及甲方、乙方的文件往来及与本合同有关的通知和要求等，应以书面或者电子邮件形式进行；一方向另一方以下通讯地址和收件人以特快专递、电邮等方式送达，以另一方签收之日或最迟自投递、电子邮件发出后第 3 日视为已有效送达该方（无论另一方是否签收）。</w:t>
      </w:r>
    </w:p>
    <w:p w14:paraId="3F5F375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甲方确认的通讯送达地址：合肥市瑶海区明光路46号东方大厦22楼</w:t>
      </w:r>
    </w:p>
    <w:p w14:paraId="42DBD25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收件人：潘高成</w:t>
      </w:r>
      <w:r>
        <w:rPr>
          <w:rFonts w:hint="eastAsia" w:ascii="仿宋_GB2312" w:hAnsi="宋体" w:eastAsia="仿宋_GB2312" w:cs="仿宋_GB2312"/>
          <w:kern w:val="0"/>
          <w:sz w:val="28"/>
          <w:szCs w:val="28"/>
          <w:lang w:bidi="ar"/>
        </w:rPr>
        <w:tab/>
      </w:r>
    </w:p>
    <w:p w14:paraId="0621082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联系电话：15255128586</w:t>
      </w:r>
    </w:p>
    <w:p w14:paraId="3C41C07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电子邮箱：pangaocheng@outlook.com</w:t>
      </w:r>
    </w:p>
    <w:p w14:paraId="418267D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乙方确认的通讯送达地址：</w:t>
      </w:r>
    </w:p>
    <w:p w14:paraId="42D629D9">
      <w:pPr>
        <w:widowControl/>
        <w:spacing w:line="540" w:lineRule="exact"/>
        <w:ind w:firstLine="560" w:firstLineChars="200"/>
        <w:jc w:val="left"/>
        <w:rPr>
          <w:rFonts w:ascii="仿宋_GB2312" w:hAnsi="宋体" w:eastAsia="仿宋_GB2312" w:cs="仿宋_GB2312"/>
          <w:kern w:val="0"/>
          <w:sz w:val="28"/>
          <w:szCs w:val="28"/>
          <w:u w:val="single"/>
          <w:lang w:bidi="ar"/>
        </w:rPr>
      </w:pPr>
      <w:r>
        <w:rPr>
          <w:rFonts w:hint="eastAsia" w:ascii="仿宋_GB2312" w:hAnsi="宋体" w:eastAsia="仿宋_GB2312" w:cs="仿宋_GB2312"/>
          <w:kern w:val="0"/>
          <w:sz w:val="28"/>
          <w:szCs w:val="28"/>
          <w:lang w:bidi="ar"/>
        </w:rPr>
        <w:t>收件人：</w:t>
      </w:r>
      <w:r>
        <w:rPr>
          <w:rFonts w:hint="eastAsia" w:ascii="仿宋_GB2312" w:hAnsi="宋体" w:eastAsia="仿宋_GB2312" w:cs="仿宋_GB2312"/>
          <w:kern w:val="0"/>
          <w:sz w:val="28"/>
          <w:szCs w:val="28"/>
          <w:u w:val="single"/>
          <w:lang w:bidi="ar"/>
        </w:rPr>
        <w:t xml:space="preserve">                                        </w:t>
      </w:r>
    </w:p>
    <w:p w14:paraId="2D105103">
      <w:pPr>
        <w:widowControl/>
        <w:spacing w:line="540" w:lineRule="exact"/>
        <w:ind w:firstLine="560" w:firstLineChars="200"/>
        <w:jc w:val="left"/>
        <w:rPr>
          <w:rFonts w:ascii="仿宋_GB2312" w:hAnsi="宋体" w:eastAsia="仿宋_GB2312" w:cs="仿宋_GB2312"/>
          <w:kern w:val="0"/>
          <w:sz w:val="28"/>
          <w:szCs w:val="28"/>
          <w:u w:val="single"/>
          <w:lang w:bidi="ar"/>
        </w:rPr>
      </w:pPr>
      <w:r>
        <w:rPr>
          <w:rFonts w:hint="eastAsia" w:ascii="仿宋_GB2312" w:hAnsi="宋体" w:eastAsia="仿宋_GB2312" w:cs="仿宋_GB2312"/>
          <w:kern w:val="0"/>
          <w:sz w:val="28"/>
          <w:szCs w:val="28"/>
          <w:lang w:bidi="ar"/>
        </w:rPr>
        <w:t>联系电话：</w:t>
      </w:r>
      <w:r>
        <w:rPr>
          <w:rFonts w:hint="eastAsia" w:ascii="仿宋_GB2312" w:hAnsi="宋体" w:eastAsia="仿宋_GB2312" w:cs="仿宋_GB2312"/>
          <w:kern w:val="0"/>
          <w:sz w:val="28"/>
          <w:szCs w:val="28"/>
          <w:u w:val="single"/>
          <w:lang w:bidi="ar"/>
        </w:rPr>
        <w:t xml:space="preserve">                                      </w:t>
      </w:r>
    </w:p>
    <w:p w14:paraId="66009822">
      <w:pPr>
        <w:widowControl/>
        <w:spacing w:line="540" w:lineRule="exact"/>
        <w:ind w:firstLine="560" w:firstLineChars="200"/>
        <w:jc w:val="left"/>
        <w:rPr>
          <w:rFonts w:ascii="仿宋_GB2312" w:hAnsi="宋体" w:eastAsia="仿宋_GB2312" w:cs="仿宋_GB2312"/>
          <w:kern w:val="0"/>
          <w:sz w:val="28"/>
          <w:szCs w:val="28"/>
          <w:u w:val="single"/>
          <w:lang w:bidi="ar"/>
        </w:rPr>
      </w:pPr>
      <w:r>
        <w:rPr>
          <w:rFonts w:hint="eastAsia" w:ascii="仿宋_GB2312" w:hAnsi="宋体" w:eastAsia="仿宋_GB2312" w:cs="仿宋_GB2312"/>
          <w:kern w:val="0"/>
          <w:sz w:val="28"/>
          <w:szCs w:val="28"/>
          <w:lang w:bidi="ar"/>
        </w:rPr>
        <w:t>电子邮箱：</w:t>
      </w:r>
      <w:r>
        <w:rPr>
          <w:rFonts w:hint="eastAsia" w:ascii="仿宋_GB2312" w:hAnsi="宋体" w:eastAsia="仿宋_GB2312" w:cs="仿宋_GB2312"/>
          <w:kern w:val="0"/>
          <w:sz w:val="28"/>
          <w:szCs w:val="28"/>
          <w:u w:val="single"/>
          <w:lang w:bidi="ar"/>
        </w:rPr>
        <w:t xml:space="preserve">                                      </w:t>
      </w:r>
    </w:p>
    <w:p w14:paraId="3FD94B7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乙方未明确送达地址的，则以乙方工商注册地址（乙方系个人的，为身份证地址）为通讯送达地址。</w:t>
      </w:r>
    </w:p>
    <w:p w14:paraId="0E30B20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7.2双方确认，本合同约定的通讯地址、联系人及联系方式的适用范围既包括各方在非诉阶段的各类通知、合同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w:t>
      </w:r>
    </w:p>
    <w:p w14:paraId="7D2B81CC">
      <w:pPr>
        <w:widowControl/>
        <w:spacing w:line="540" w:lineRule="exact"/>
        <w:jc w:val="left"/>
        <w:rPr>
          <w:rFonts w:ascii="仿宋_GB2312" w:hAnsi="宋体" w:eastAsia="仿宋_GB2312" w:cs="仿宋_GB2312"/>
          <w:kern w:val="0"/>
          <w:sz w:val="28"/>
          <w:szCs w:val="28"/>
          <w:lang w:bidi="ar"/>
        </w:rPr>
      </w:pPr>
    </w:p>
    <w:p w14:paraId="091F7097">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八、不可抗力</w:t>
      </w:r>
    </w:p>
    <w:p w14:paraId="162EFF8A">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8.1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240E0AD4">
      <w:pPr>
        <w:widowControl/>
        <w:spacing w:line="540" w:lineRule="exact"/>
        <w:ind w:firstLine="562" w:firstLineChars="200"/>
        <w:jc w:val="left"/>
        <w:rPr>
          <w:rFonts w:ascii="仿宋_GB2312" w:hAnsi="宋体" w:eastAsia="仿宋_GB2312" w:cs="仿宋_GB2312"/>
          <w:b/>
          <w:bCs/>
          <w:kern w:val="0"/>
          <w:sz w:val="28"/>
          <w:szCs w:val="28"/>
          <w:lang w:bidi="ar"/>
        </w:rPr>
      </w:pPr>
    </w:p>
    <w:p w14:paraId="49C23B9C">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九、争议的解决</w:t>
      </w:r>
    </w:p>
    <w:p w14:paraId="3B75AC49">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9.1各方在本合同项下产生争议，应当首先友好协商解决。协商不成，任何一方均有权向甲方所在地人民法院起诉解决。</w:t>
      </w:r>
    </w:p>
    <w:p w14:paraId="2C5F337A">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9.2本合同中任何条款的无效不应影响本合同其他条款的效力，在解决争议的过程中，各方应按本合同所有其他有效条款的约定继续履行本合同。</w:t>
      </w:r>
    </w:p>
    <w:p w14:paraId="5B46A9AF">
      <w:pPr>
        <w:widowControl/>
        <w:spacing w:line="540" w:lineRule="exact"/>
        <w:ind w:firstLine="560" w:firstLineChars="200"/>
        <w:jc w:val="left"/>
        <w:rPr>
          <w:rFonts w:ascii="仿宋_GB2312" w:hAnsi="宋体" w:eastAsia="仿宋_GB2312" w:cs="仿宋_GB2312"/>
          <w:kern w:val="0"/>
          <w:sz w:val="28"/>
          <w:szCs w:val="28"/>
          <w:lang w:bidi="ar"/>
        </w:rPr>
      </w:pPr>
    </w:p>
    <w:p w14:paraId="78DBB79D">
      <w:pPr>
        <w:widowControl/>
        <w:numPr>
          <w:ilvl w:val="0"/>
          <w:numId w:val="3"/>
        </w:numPr>
        <w:spacing w:line="540" w:lineRule="exact"/>
        <w:jc w:val="left"/>
        <w:rPr>
          <w:rFonts w:hint="eastAsia" w:ascii="仿宋_GB2312" w:hAnsi="宋体" w:eastAsia="仿宋_GB2312" w:cs="仿宋_GB2312"/>
          <w:b/>
          <w:bCs/>
          <w:kern w:val="0"/>
          <w:sz w:val="28"/>
          <w:szCs w:val="28"/>
          <w:lang w:val="en-US" w:eastAsia="zh-CN" w:bidi="ar"/>
        </w:rPr>
      </w:pPr>
      <w:r>
        <w:rPr>
          <w:rFonts w:hint="eastAsia" w:ascii="仿宋_GB2312" w:hAnsi="宋体" w:eastAsia="仿宋_GB2312" w:cs="仿宋_GB2312"/>
          <w:b/>
          <w:bCs/>
          <w:kern w:val="0"/>
          <w:sz w:val="28"/>
          <w:szCs w:val="28"/>
          <w:lang w:val="en-US" w:eastAsia="zh-CN" w:bidi="ar"/>
        </w:rPr>
        <w:t>补充条款</w:t>
      </w:r>
    </w:p>
    <w:p w14:paraId="1CCE28EC">
      <w:pPr>
        <w:widowControl/>
        <w:numPr>
          <w:ilvl w:val="-1"/>
          <w:numId w:val="0"/>
        </w:numPr>
        <w:spacing w:line="540" w:lineRule="exact"/>
        <w:ind w:firstLine="480" w:firstLineChars="200"/>
        <w:jc w:val="left"/>
        <w:rPr>
          <w:rFonts w:hint="eastAsia" w:ascii="仿宋_GB2312" w:hAnsi="宋体" w:eastAsia="仿宋_GB2312" w:cs="仿宋_GB2312"/>
          <w:b/>
          <w:bCs/>
          <w:kern w:val="0"/>
          <w:sz w:val="28"/>
          <w:szCs w:val="28"/>
          <w:lang w:val="en-US" w:eastAsia="zh-CN" w:bidi="ar"/>
        </w:rPr>
      </w:pPr>
      <w:r>
        <w:rPr>
          <w:rFonts w:hint="eastAsia" w:ascii="宋体" w:hAnsi="宋体" w:eastAsia="宋体" w:cs="宋体"/>
          <w:sz w:val="24"/>
          <w:szCs w:val="24"/>
          <w:lang w:val="en-US" w:eastAsia="zh-CN"/>
        </w:rPr>
        <w:t>10.1</w:t>
      </w:r>
      <w:r>
        <w:rPr>
          <w:rFonts w:ascii="宋体" w:hAnsi="宋体" w:eastAsia="宋体" w:cs="宋体"/>
          <w:sz w:val="24"/>
          <w:szCs w:val="24"/>
        </w:rPr>
        <w:t>本合同的全部内容同样适用干甲方旗下的瑶海分公司。</w:t>
      </w:r>
    </w:p>
    <w:p w14:paraId="0C3D79E4">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val="en-US" w:eastAsia="zh-CN" w:bidi="ar"/>
        </w:rPr>
        <w:t>十一</w:t>
      </w:r>
      <w:r>
        <w:rPr>
          <w:rFonts w:hint="eastAsia" w:ascii="仿宋_GB2312" w:hAnsi="宋体" w:eastAsia="仿宋_GB2312" w:cs="仿宋_GB2312"/>
          <w:b/>
          <w:bCs/>
          <w:kern w:val="0"/>
          <w:sz w:val="28"/>
          <w:szCs w:val="28"/>
          <w:lang w:bidi="ar"/>
        </w:rPr>
        <w:t>、合同生效</w:t>
      </w:r>
    </w:p>
    <w:p w14:paraId="31B6884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val="en-US" w:eastAsia="zh-CN" w:bidi="ar"/>
        </w:rPr>
        <w:t>1</w:t>
      </w:r>
      <w:r>
        <w:rPr>
          <w:rFonts w:hint="eastAsia" w:ascii="仿宋_GB2312" w:hAnsi="宋体" w:eastAsia="仿宋_GB2312" w:cs="仿宋_GB2312"/>
          <w:kern w:val="0"/>
          <w:sz w:val="28"/>
          <w:szCs w:val="28"/>
          <w:lang w:bidi="ar"/>
        </w:rPr>
        <w:t>.1乙方保证：拥有签订和履行本合同全部义务所必需的所有合法权利以及所有内部和外部的批准、授权和许可。</w:t>
      </w:r>
    </w:p>
    <w:p w14:paraId="4297C2D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val="en-US" w:eastAsia="zh-CN" w:bidi="ar"/>
        </w:rPr>
        <w:t>1</w:t>
      </w:r>
      <w:r>
        <w:rPr>
          <w:rFonts w:hint="eastAsia" w:ascii="仿宋_GB2312" w:hAnsi="宋体" w:eastAsia="仿宋_GB2312" w:cs="仿宋_GB2312"/>
          <w:kern w:val="0"/>
          <w:sz w:val="28"/>
          <w:szCs w:val="28"/>
          <w:lang w:bidi="ar"/>
        </w:rPr>
        <w:t>.2本合同签订前，乙方应向甲方提供下列证明文件或材料：</w:t>
      </w:r>
    </w:p>
    <w:p w14:paraId="5319CBC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营业执照复印件、法定代表人身份证明文件，如为加盟项目，还须提供特许加盟的授权委托证明；</w:t>
      </w:r>
    </w:p>
    <w:p w14:paraId="1FAA804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签名人如为代理人，本合同签名人的授权委托书；</w:t>
      </w:r>
    </w:p>
    <w:p w14:paraId="6B091E5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甲方要求提供的其它资质证明文件、资料；</w:t>
      </w:r>
    </w:p>
    <w:p w14:paraId="57DD6F3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双方一致同意不向传播媒介或公众或第三方透露本合同的内容；</w:t>
      </w:r>
    </w:p>
    <w:p w14:paraId="650107D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val="en-US" w:eastAsia="zh-CN" w:bidi="ar"/>
        </w:rPr>
        <w:t>1</w:t>
      </w:r>
      <w:r>
        <w:rPr>
          <w:rFonts w:hint="eastAsia" w:ascii="仿宋_GB2312" w:hAnsi="宋体" w:eastAsia="仿宋_GB2312" w:cs="仿宋_GB2312"/>
          <w:kern w:val="0"/>
          <w:sz w:val="28"/>
          <w:szCs w:val="28"/>
          <w:lang w:bidi="ar"/>
        </w:rPr>
        <w:t>.3本合同经甲、乙双方法定代表人或授权代表签名、盖章后生效。</w:t>
      </w:r>
    </w:p>
    <w:p w14:paraId="7397BCE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val="en-US" w:eastAsia="zh-CN" w:bidi="ar"/>
        </w:rPr>
        <w:t>1</w:t>
      </w:r>
      <w:r>
        <w:rPr>
          <w:rFonts w:hint="eastAsia" w:ascii="仿宋_GB2312" w:hAnsi="宋体" w:eastAsia="仿宋_GB2312" w:cs="仿宋_GB2312"/>
          <w:kern w:val="0"/>
          <w:sz w:val="28"/>
          <w:szCs w:val="28"/>
          <w:lang w:bidi="ar"/>
        </w:rPr>
        <w:t>.4本合同正本一式【陆】份，甲方执【叁】份，乙方执【叁】份，均具有同等法律效力。</w:t>
      </w:r>
    </w:p>
    <w:p w14:paraId="1F36709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val="en-US" w:eastAsia="zh-CN" w:bidi="ar"/>
        </w:rPr>
        <w:t>1</w:t>
      </w:r>
      <w:r>
        <w:rPr>
          <w:rFonts w:hint="eastAsia" w:ascii="仿宋_GB2312" w:hAnsi="宋体" w:eastAsia="仿宋_GB2312" w:cs="仿宋_GB2312"/>
          <w:kern w:val="0"/>
          <w:sz w:val="28"/>
          <w:szCs w:val="28"/>
          <w:lang w:bidi="ar"/>
        </w:rPr>
        <w:t>.5 合同附件</w:t>
      </w:r>
    </w:p>
    <w:p w14:paraId="068A0AC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本合同附件是本合同不可分割的组成部分，与本合同具有同等法律效力。附件包括：</w:t>
      </w:r>
    </w:p>
    <w:p w14:paraId="78CC376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合同附件一：维保范围明细表</w:t>
      </w:r>
    </w:p>
    <w:p w14:paraId="4D77473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合同附件二：紧急故障处理预案</w:t>
      </w:r>
    </w:p>
    <w:p w14:paraId="73F3AAC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合同附件三：安全生产合同书</w:t>
      </w:r>
    </w:p>
    <w:p w14:paraId="65EB44B2">
      <w:pPr>
        <w:widowControl/>
        <w:spacing w:line="540" w:lineRule="exact"/>
        <w:ind w:firstLine="560" w:firstLineChars="200"/>
        <w:jc w:val="left"/>
        <w:rPr>
          <w:rFonts w:ascii="仿宋_GB2312" w:hAnsi="宋体" w:eastAsia="仿宋_GB2312" w:cs="仿宋_GB2312"/>
          <w:kern w:val="0"/>
          <w:sz w:val="28"/>
          <w:szCs w:val="28"/>
          <w:lang w:bidi="ar"/>
        </w:rPr>
      </w:pPr>
    </w:p>
    <w:p w14:paraId="0DB747B2">
      <w:pPr>
        <w:widowControl/>
        <w:spacing w:line="540" w:lineRule="exact"/>
        <w:jc w:val="left"/>
        <w:rPr>
          <w:rFonts w:ascii="仿宋_GB2312" w:hAnsi="宋体" w:eastAsia="仿宋_GB2312" w:cs="仿宋_GB2312"/>
          <w:kern w:val="0"/>
          <w:sz w:val="28"/>
          <w:szCs w:val="28"/>
          <w:lang w:bidi="ar"/>
        </w:rPr>
      </w:pPr>
    </w:p>
    <w:p w14:paraId="4B4621C6">
      <w:pPr>
        <w:widowControl/>
        <w:spacing w:line="540" w:lineRule="exact"/>
        <w:ind w:firstLine="560" w:firstLineChars="200"/>
        <w:jc w:val="left"/>
        <w:rPr>
          <w:rFonts w:ascii="仿宋_GB2312" w:hAnsi="宋体" w:eastAsia="仿宋_GB2312" w:cs="仿宋_GB2312"/>
          <w:kern w:val="0"/>
          <w:sz w:val="28"/>
          <w:szCs w:val="28"/>
          <w:lang w:bidi="ar"/>
        </w:rPr>
      </w:pPr>
    </w:p>
    <w:p w14:paraId="5C8A85EA">
      <w:pPr>
        <w:widowControl/>
        <w:spacing w:line="540" w:lineRule="exact"/>
        <w:ind w:firstLine="560" w:firstLineChars="200"/>
        <w:jc w:val="left"/>
        <w:rPr>
          <w:rFonts w:ascii="仿宋_GB2312" w:hAnsi="宋体" w:eastAsia="仿宋_GB2312" w:cs="仿宋_GB2312"/>
          <w:kern w:val="0"/>
          <w:sz w:val="28"/>
          <w:szCs w:val="28"/>
          <w:lang w:bidi="ar"/>
        </w:rPr>
      </w:pPr>
    </w:p>
    <w:p w14:paraId="49404BC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甲方（盖章）：                   乙方（盖章）：  </w:t>
      </w:r>
    </w:p>
    <w:p w14:paraId="42A909F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法定代表人或                     法定代表人或</w:t>
      </w:r>
    </w:p>
    <w:p w14:paraId="69EFD9F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授权代表人（签名）：             授权代表人（签名）： </w:t>
      </w:r>
    </w:p>
    <w:p w14:paraId="3189AA0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                      </w:t>
      </w:r>
    </w:p>
    <w:p w14:paraId="094CAB7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日    期：                      日    期： </w:t>
      </w:r>
    </w:p>
    <w:p w14:paraId="5D5A63F8">
      <w:pPr>
        <w:widowControl/>
        <w:spacing w:line="540" w:lineRule="exact"/>
        <w:ind w:firstLine="560" w:firstLineChars="200"/>
        <w:jc w:val="left"/>
        <w:rPr>
          <w:rFonts w:ascii="仿宋_GB2312" w:hAnsi="宋体" w:eastAsia="仿宋_GB2312" w:cs="仿宋_GB2312"/>
          <w:kern w:val="0"/>
          <w:sz w:val="28"/>
          <w:szCs w:val="28"/>
          <w:lang w:bidi="ar"/>
        </w:rPr>
      </w:pPr>
    </w:p>
    <w:bookmarkEnd w:id="2"/>
    <w:bookmarkEnd w:id="3"/>
    <w:bookmarkEnd w:id="4"/>
    <w:p w14:paraId="6FBA1155">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合同附件一：</w:t>
      </w:r>
    </w:p>
    <w:p w14:paraId="5037EDD4">
      <w:pPr>
        <w:widowControl/>
        <w:spacing w:line="540" w:lineRule="exact"/>
        <w:ind w:firstLine="562" w:firstLineChars="200"/>
        <w:jc w:val="center"/>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维保范围明细表</w:t>
      </w:r>
    </w:p>
    <w:p w14:paraId="0CABB2EA">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本表为《机械停车设备维保合同》（合同编号：CBJS-2025-0XX）的组成部分，明确了本次维保服务的具体范围。</w:t>
      </w:r>
    </w:p>
    <w:tbl>
      <w:tblPr>
        <w:tblStyle w:val="15"/>
        <w:tblW w:w="0" w:type="auto"/>
        <w:tblInd w:w="0" w:type="dxa"/>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Layout w:type="autofit"/>
        <w:tblCellMar>
          <w:top w:w="15" w:type="dxa"/>
          <w:left w:w="15" w:type="dxa"/>
          <w:bottom w:w="15" w:type="dxa"/>
          <w:right w:w="15" w:type="dxa"/>
        </w:tblCellMar>
      </w:tblPr>
      <w:tblGrid>
        <w:gridCol w:w="608"/>
        <w:gridCol w:w="1098"/>
        <w:gridCol w:w="1642"/>
        <w:gridCol w:w="4988"/>
      </w:tblGrid>
      <w:tr w14:paraId="1AD6BEEE">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tcPr>
          <w:p w14:paraId="31FB66C4">
            <w:pPr>
              <w:widowControl/>
              <w:spacing w:line="540" w:lineRule="exact"/>
              <w:jc w:val="left"/>
              <w:rPr>
                <w:rFonts w:ascii="方正仿宋_GB2312" w:hAnsi="方正仿宋_GB2312" w:eastAsia="方正仿宋_GB2312" w:cs="方正仿宋_GB2312"/>
                <w:b/>
                <w:bCs/>
                <w:kern w:val="0"/>
                <w:sz w:val="24"/>
                <w:lang w:bidi="ar"/>
              </w:rPr>
            </w:pPr>
            <w:r>
              <w:rPr>
                <w:rFonts w:hint="eastAsia" w:ascii="方正仿宋_GB2312" w:hAnsi="方正仿宋_GB2312" w:eastAsia="方正仿宋_GB2312" w:cs="方正仿宋_GB2312"/>
                <w:b/>
                <w:bCs/>
                <w:kern w:val="0"/>
                <w:sz w:val="24"/>
                <w:lang w:bidi="ar"/>
              </w:rPr>
              <w:t>序号</w:t>
            </w:r>
          </w:p>
        </w:tc>
        <w:tc>
          <w:tcPr>
            <w:tcW w:w="1098" w:type="dxa"/>
            <w:tcBorders>
              <w:top w:val="single" w:color="auto" w:sz="6" w:space="0"/>
              <w:left w:val="single" w:color="auto" w:sz="6" w:space="0"/>
              <w:bottom w:val="single" w:color="auto" w:sz="6" w:space="0"/>
              <w:right w:val="single" w:color="auto" w:sz="6" w:space="0"/>
            </w:tcBorders>
            <w:shd w:val="clear" w:color="auto" w:fill="auto"/>
          </w:tcPr>
          <w:p w14:paraId="14A24A0B">
            <w:pPr>
              <w:widowControl/>
              <w:spacing w:line="540" w:lineRule="exact"/>
              <w:jc w:val="left"/>
              <w:rPr>
                <w:rFonts w:ascii="方正仿宋_GB2312" w:hAnsi="方正仿宋_GB2312" w:eastAsia="方正仿宋_GB2312" w:cs="方正仿宋_GB2312"/>
                <w:b/>
                <w:bCs/>
                <w:kern w:val="0"/>
                <w:sz w:val="24"/>
                <w:lang w:bidi="ar"/>
              </w:rPr>
            </w:pPr>
            <w:r>
              <w:rPr>
                <w:rFonts w:hint="eastAsia" w:ascii="方正仿宋_GB2312" w:hAnsi="方正仿宋_GB2312" w:eastAsia="方正仿宋_GB2312" w:cs="方正仿宋_GB2312"/>
                <w:b/>
                <w:bCs/>
                <w:kern w:val="0"/>
                <w:sz w:val="24"/>
                <w:lang w:bidi="ar"/>
              </w:rPr>
              <w:t>系统类别</w:t>
            </w:r>
          </w:p>
        </w:tc>
        <w:tc>
          <w:tcPr>
            <w:tcW w:w="0" w:type="auto"/>
            <w:tcBorders>
              <w:top w:val="single" w:color="auto" w:sz="6" w:space="0"/>
              <w:left w:val="single" w:color="auto" w:sz="6" w:space="0"/>
              <w:bottom w:val="single" w:color="auto" w:sz="6" w:space="0"/>
              <w:right w:val="single" w:color="auto" w:sz="6" w:space="0"/>
            </w:tcBorders>
            <w:shd w:val="clear" w:color="auto" w:fill="auto"/>
          </w:tcPr>
          <w:p w14:paraId="30FF3D7F">
            <w:pPr>
              <w:widowControl/>
              <w:spacing w:line="540" w:lineRule="exact"/>
              <w:jc w:val="left"/>
              <w:rPr>
                <w:rFonts w:ascii="方正仿宋_GB2312" w:hAnsi="方正仿宋_GB2312" w:eastAsia="方正仿宋_GB2312" w:cs="方正仿宋_GB2312"/>
                <w:b/>
                <w:bCs/>
                <w:kern w:val="0"/>
                <w:sz w:val="24"/>
                <w:lang w:bidi="ar"/>
              </w:rPr>
            </w:pPr>
            <w:r>
              <w:rPr>
                <w:rFonts w:hint="eastAsia" w:ascii="方正仿宋_GB2312" w:hAnsi="方正仿宋_GB2312" w:eastAsia="方正仿宋_GB2312" w:cs="方正仿宋_GB2312"/>
                <w:b/>
                <w:bCs/>
                <w:kern w:val="0"/>
                <w:sz w:val="24"/>
                <w:lang w:bidi="ar"/>
              </w:rPr>
              <w:t>维保子系统</w:t>
            </w:r>
          </w:p>
        </w:tc>
        <w:tc>
          <w:tcPr>
            <w:tcW w:w="0" w:type="auto"/>
            <w:tcBorders>
              <w:top w:val="single" w:color="auto" w:sz="6" w:space="0"/>
              <w:left w:val="single" w:color="auto" w:sz="6" w:space="0"/>
              <w:bottom w:val="single" w:color="auto" w:sz="6" w:space="0"/>
              <w:right w:val="single" w:color="auto" w:sz="6" w:space="0"/>
            </w:tcBorders>
            <w:shd w:val="clear" w:color="auto" w:fill="auto"/>
          </w:tcPr>
          <w:p w14:paraId="4AE6FF23">
            <w:pPr>
              <w:widowControl/>
              <w:spacing w:line="540" w:lineRule="exact"/>
              <w:jc w:val="left"/>
              <w:rPr>
                <w:rFonts w:ascii="方正仿宋_GB2312" w:hAnsi="方正仿宋_GB2312" w:eastAsia="方正仿宋_GB2312" w:cs="方正仿宋_GB2312"/>
                <w:b/>
                <w:bCs/>
                <w:kern w:val="0"/>
                <w:sz w:val="24"/>
                <w:lang w:bidi="ar"/>
              </w:rPr>
            </w:pPr>
            <w:r>
              <w:rPr>
                <w:rFonts w:hint="eastAsia" w:ascii="方正仿宋_GB2312" w:hAnsi="方正仿宋_GB2312" w:eastAsia="方正仿宋_GB2312" w:cs="方正仿宋_GB2312"/>
                <w:b/>
                <w:bCs/>
                <w:kern w:val="0"/>
                <w:sz w:val="24"/>
                <w:lang w:bidi="ar"/>
              </w:rPr>
              <w:t>维保内容明细</w:t>
            </w:r>
          </w:p>
        </w:tc>
      </w:tr>
      <w:tr w14:paraId="2A61A242">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3B676270">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w:t>
            </w:r>
          </w:p>
        </w:tc>
        <w:tc>
          <w:tcPr>
            <w:tcW w:w="1098" w:type="dxa"/>
            <w:vMerge w:val="restart"/>
            <w:tcBorders>
              <w:top w:val="single" w:color="auto" w:sz="6" w:space="0"/>
              <w:left w:val="single" w:color="auto" w:sz="6" w:space="0"/>
              <w:right w:val="single" w:color="auto" w:sz="6" w:space="0"/>
            </w:tcBorders>
            <w:shd w:val="clear" w:color="auto" w:fill="auto"/>
            <w:vAlign w:val="center"/>
          </w:tcPr>
          <w:p w14:paraId="08384273">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结构系统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7159EE7F">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主体钢结构</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221F6B3C">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钢结构框架、立柱、横梁、连接件（螺栓、焊缝等）</w:t>
            </w:r>
          </w:p>
        </w:tc>
      </w:tr>
      <w:tr w14:paraId="635B113E">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7E9A800F">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2</w:t>
            </w:r>
          </w:p>
        </w:tc>
        <w:tc>
          <w:tcPr>
            <w:tcW w:w="1098" w:type="dxa"/>
            <w:vMerge w:val="continue"/>
            <w:tcBorders>
              <w:left w:val="single" w:color="auto" w:sz="6" w:space="0"/>
              <w:right w:val="single" w:color="auto" w:sz="6" w:space="0"/>
            </w:tcBorders>
            <w:shd w:val="clear" w:color="auto" w:fill="auto"/>
            <w:vAlign w:val="center"/>
          </w:tcPr>
          <w:p w14:paraId="082FC799">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2C08EDB5">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载车装置</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6D940A46">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载车板、防滑条、车辆定位止挡器</w:t>
            </w:r>
          </w:p>
        </w:tc>
      </w:tr>
      <w:tr w14:paraId="1FFDDF51">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37B1746E">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3</w:t>
            </w:r>
          </w:p>
        </w:tc>
        <w:tc>
          <w:tcPr>
            <w:tcW w:w="1098" w:type="dxa"/>
            <w:vMerge w:val="continue"/>
            <w:tcBorders>
              <w:left w:val="single" w:color="auto" w:sz="6" w:space="0"/>
              <w:right w:val="single" w:color="auto" w:sz="6" w:space="0"/>
            </w:tcBorders>
            <w:shd w:val="clear" w:color="auto" w:fill="auto"/>
            <w:vAlign w:val="center"/>
          </w:tcPr>
          <w:p w14:paraId="2DCC71EF">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173BACBA">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导向与支撑结构</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675E194F">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升降导轨、导向轮、支撑结构</w:t>
            </w:r>
          </w:p>
        </w:tc>
      </w:tr>
      <w:tr w14:paraId="6F9315A7">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696CE450">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4</w:t>
            </w:r>
          </w:p>
        </w:tc>
        <w:tc>
          <w:tcPr>
            <w:tcW w:w="1098" w:type="dxa"/>
            <w:vMerge w:val="continue"/>
            <w:tcBorders>
              <w:left w:val="single" w:color="auto" w:sz="6" w:space="0"/>
              <w:right w:val="single" w:color="auto" w:sz="6" w:space="0"/>
            </w:tcBorders>
            <w:shd w:val="clear" w:color="auto" w:fill="auto"/>
            <w:vAlign w:val="center"/>
          </w:tcPr>
          <w:p w14:paraId="117FD29E">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6FBFAD0B">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配重系统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275E814C">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配重块、配重架、配重导轨及导向轮</w:t>
            </w:r>
          </w:p>
        </w:tc>
      </w:tr>
      <w:tr w14:paraId="387315A0">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78B287B9">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5</w:t>
            </w:r>
          </w:p>
        </w:tc>
        <w:tc>
          <w:tcPr>
            <w:tcW w:w="1098" w:type="dxa"/>
            <w:vMerge w:val="continue"/>
            <w:tcBorders>
              <w:left w:val="single" w:color="auto" w:sz="6" w:space="0"/>
              <w:bottom w:val="single" w:color="auto" w:sz="6" w:space="0"/>
              <w:right w:val="single" w:color="auto" w:sz="6" w:space="0"/>
            </w:tcBorders>
            <w:shd w:val="clear" w:color="auto" w:fill="auto"/>
            <w:vAlign w:val="center"/>
          </w:tcPr>
          <w:p w14:paraId="740DBF50">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4E714AAF">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设备连接基础</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6B4B07B2">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地脚螺栓、预埋件（厂家设计部分）</w:t>
            </w:r>
          </w:p>
        </w:tc>
      </w:tr>
      <w:tr w14:paraId="62A5F405">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32116C93">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6</w:t>
            </w:r>
          </w:p>
        </w:tc>
        <w:tc>
          <w:tcPr>
            <w:tcW w:w="1098" w:type="dxa"/>
            <w:vMerge w:val="restart"/>
            <w:tcBorders>
              <w:top w:val="single" w:color="auto" w:sz="6" w:space="0"/>
              <w:left w:val="single" w:color="auto" w:sz="6" w:space="0"/>
              <w:right w:val="single" w:color="auto" w:sz="6" w:space="0"/>
            </w:tcBorders>
            <w:shd w:val="clear" w:color="auto" w:fill="auto"/>
            <w:vAlign w:val="center"/>
          </w:tcPr>
          <w:p w14:paraId="617F07E3">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传动系统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615E6A0D">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提升机构</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7E1765B6">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提升机、减速机、升降驱动电机</w:t>
            </w:r>
          </w:p>
        </w:tc>
      </w:tr>
      <w:tr w14:paraId="136E5B5A">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138F5C3B">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7</w:t>
            </w:r>
          </w:p>
        </w:tc>
        <w:tc>
          <w:tcPr>
            <w:tcW w:w="1098" w:type="dxa"/>
            <w:vMerge w:val="continue"/>
            <w:tcBorders>
              <w:left w:val="single" w:color="auto" w:sz="6" w:space="0"/>
              <w:right w:val="single" w:color="auto" w:sz="6" w:space="0"/>
            </w:tcBorders>
            <w:shd w:val="clear" w:color="auto" w:fill="auto"/>
            <w:vAlign w:val="center"/>
          </w:tcPr>
          <w:p w14:paraId="7DD1F2EF">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7A61C12B">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升降传动部件</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133C82B0">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钢丝绳（或链条）、卷筒、链轮、滑轮组</w:t>
            </w:r>
          </w:p>
        </w:tc>
      </w:tr>
      <w:tr w14:paraId="7DB1D479">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0BB35521">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8</w:t>
            </w:r>
          </w:p>
        </w:tc>
        <w:tc>
          <w:tcPr>
            <w:tcW w:w="1098" w:type="dxa"/>
            <w:vMerge w:val="continue"/>
            <w:tcBorders>
              <w:left w:val="single" w:color="auto" w:sz="6" w:space="0"/>
              <w:right w:val="single" w:color="auto" w:sz="6" w:space="0"/>
            </w:tcBorders>
            <w:shd w:val="clear" w:color="auto" w:fill="auto"/>
            <w:vAlign w:val="center"/>
          </w:tcPr>
          <w:p w14:paraId="79D586C3">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0F9FD463">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梳齿交换机构</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01A3A306">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横移电机、升降电机、传动轴、齿轮、联轴器、梳齿板</w:t>
            </w:r>
          </w:p>
        </w:tc>
      </w:tr>
      <w:tr w14:paraId="35F96432">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2A31281C">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9</w:t>
            </w:r>
          </w:p>
        </w:tc>
        <w:tc>
          <w:tcPr>
            <w:tcW w:w="1098" w:type="dxa"/>
            <w:vMerge w:val="continue"/>
            <w:tcBorders>
              <w:left w:val="single" w:color="auto" w:sz="6" w:space="0"/>
              <w:bottom w:val="single" w:color="auto" w:sz="6" w:space="0"/>
              <w:right w:val="single" w:color="auto" w:sz="6" w:space="0"/>
            </w:tcBorders>
            <w:shd w:val="clear" w:color="auto" w:fill="auto"/>
            <w:vAlign w:val="center"/>
          </w:tcPr>
          <w:p w14:paraId="3ADC8CD2">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3A13152D">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润滑系统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092044BB">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自动/手动润滑泵、油管、分配器、润滑点</w:t>
            </w:r>
          </w:p>
        </w:tc>
      </w:tr>
      <w:tr w14:paraId="3EDB35B8">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3B8596B9">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10</w:t>
            </w:r>
          </w:p>
        </w:tc>
        <w:tc>
          <w:tcPr>
            <w:tcW w:w="1098" w:type="dxa"/>
            <w:vMerge w:val="restart"/>
            <w:tcBorders>
              <w:top w:val="single" w:color="auto" w:sz="6" w:space="0"/>
              <w:left w:val="single" w:color="auto" w:sz="6" w:space="0"/>
              <w:right w:val="single" w:color="auto" w:sz="6" w:space="0"/>
            </w:tcBorders>
            <w:shd w:val="clear" w:color="auto" w:fill="auto"/>
            <w:vAlign w:val="center"/>
          </w:tcPr>
          <w:p w14:paraId="0EF418C4">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电气控制系统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4566DDB6">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主控系统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16546609">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PLC控制柜、人机界面（HMI）、控制电源</w:t>
            </w:r>
          </w:p>
        </w:tc>
      </w:tr>
      <w:tr w14:paraId="60BE7C09">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7AA8B47F">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11</w:t>
            </w:r>
          </w:p>
        </w:tc>
        <w:tc>
          <w:tcPr>
            <w:tcW w:w="1098" w:type="dxa"/>
            <w:vMerge w:val="continue"/>
            <w:tcBorders>
              <w:left w:val="single" w:color="auto" w:sz="6" w:space="0"/>
              <w:right w:val="single" w:color="auto" w:sz="6" w:space="0"/>
            </w:tcBorders>
            <w:shd w:val="clear" w:color="auto" w:fill="auto"/>
            <w:vAlign w:val="center"/>
          </w:tcPr>
          <w:p w14:paraId="3521787A">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6017C266">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驱动系统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0A89BA58">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变频器、电机驱动回路、接触器、继电器</w:t>
            </w:r>
          </w:p>
        </w:tc>
      </w:tr>
      <w:tr w14:paraId="7491674F">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06A95CB6">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12</w:t>
            </w:r>
          </w:p>
        </w:tc>
        <w:tc>
          <w:tcPr>
            <w:tcW w:w="1098" w:type="dxa"/>
            <w:vMerge w:val="continue"/>
            <w:tcBorders>
              <w:left w:val="single" w:color="auto" w:sz="6" w:space="0"/>
              <w:right w:val="single" w:color="auto" w:sz="6" w:space="0"/>
            </w:tcBorders>
            <w:shd w:val="clear" w:color="auto" w:fill="auto"/>
            <w:vAlign w:val="center"/>
          </w:tcPr>
          <w:p w14:paraId="2A5653C3">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4CD828AB">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传感器系统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1B9D173E">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位置传感器、限位开关、光电开关、重量传感器</w:t>
            </w:r>
          </w:p>
        </w:tc>
      </w:tr>
      <w:tr w14:paraId="0ADF956B">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09352DF9">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13</w:t>
            </w:r>
          </w:p>
        </w:tc>
        <w:tc>
          <w:tcPr>
            <w:tcW w:w="1098" w:type="dxa"/>
            <w:vMerge w:val="continue"/>
            <w:tcBorders>
              <w:left w:val="single" w:color="auto" w:sz="6" w:space="0"/>
              <w:right w:val="single" w:color="auto" w:sz="6" w:space="0"/>
            </w:tcBorders>
            <w:shd w:val="clear" w:color="auto" w:fill="auto"/>
            <w:vAlign w:val="center"/>
          </w:tcPr>
          <w:p w14:paraId="58316F10">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7B7EAF32">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操作系统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46141111">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出入口操作面板、急停按钮、原厂集成的刷卡/扫码模块</w:t>
            </w:r>
          </w:p>
        </w:tc>
      </w:tr>
      <w:tr w14:paraId="1BCE5CCB">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3E73CDFD">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14</w:t>
            </w:r>
          </w:p>
        </w:tc>
        <w:tc>
          <w:tcPr>
            <w:tcW w:w="1098" w:type="dxa"/>
            <w:vMerge w:val="continue"/>
            <w:tcBorders>
              <w:left w:val="single" w:color="auto" w:sz="6" w:space="0"/>
              <w:bottom w:val="single" w:color="auto" w:sz="6" w:space="0"/>
              <w:right w:val="single" w:color="auto" w:sz="6" w:space="0"/>
            </w:tcBorders>
            <w:shd w:val="clear" w:color="auto" w:fill="auto"/>
            <w:vAlign w:val="center"/>
          </w:tcPr>
          <w:p w14:paraId="7BB22B83">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7D3C412A">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局部照明</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0B9CDCC6">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设备本体上的检修灯、载车板照明（如有）</w:t>
            </w:r>
          </w:p>
        </w:tc>
      </w:tr>
      <w:tr w14:paraId="6014C694">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56CA8873">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15</w:t>
            </w:r>
          </w:p>
        </w:tc>
        <w:tc>
          <w:tcPr>
            <w:tcW w:w="1098" w:type="dxa"/>
            <w:vMerge w:val="restart"/>
            <w:tcBorders>
              <w:top w:val="single" w:color="auto" w:sz="6" w:space="0"/>
              <w:left w:val="single" w:color="auto" w:sz="6" w:space="0"/>
              <w:right w:val="single" w:color="auto" w:sz="6" w:space="0"/>
            </w:tcBorders>
            <w:shd w:val="clear" w:color="auto" w:fill="auto"/>
            <w:vAlign w:val="center"/>
          </w:tcPr>
          <w:p w14:paraId="32E1802A">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安全保护系统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0FFEA3AD">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防坠落装置</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36D9E436">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抱闸、安全钳、限速器（升降机构）</w:t>
            </w:r>
          </w:p>
        </w:tc>
      </w:tr>
      <w:tr w14:paraId="3A1C99EB">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1813093D">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16</w:t>
            </w:r>
          </w:p>
        </w:tc>
        <w:tc>
          <w:tcPr>
            <w:tcW w:w="1098" w:type="dxa"/>
            <w:vMerge w:val="continue"/>
            <w:tcBorders>
              <w:left w:val="single" w:color="auto" w:sz="6" w:space="0"/>
              <w:right w:val="single" w:color="auto" w:sz="6" w:space="0"/>
            </w:tcBorders>
            <w:shd w:val="clear" w:color="auto" w:fill="auto"/>
            <w:vAlign w:val="center"/>
          </w:tcPr>
          <w:p w14:paraId="2D562B19">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5DC031ED">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紧急停止系统</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314834C1">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各层急停按钮、总急停回路（设备内部）</w:t>
            </w:r>
          </w:p>
        </w:tc>
      </w:tr>
      <w:tr w14:paraId="17570ED0">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7649A2FC">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17</w:t>
            </w:r>
          </w:p>
        </w:tc>
        <w:tc>
          <w:tcPr>
            <w:tcW w:w="1098" w:type="dxa"/>
            <w:vMerge w:val="continue"/>
            <w:tcBorders>
              <w:left w:val="single" w:color="auto" w:sz="6" w:space="0"/>
              <w:right w:val="single" w:color="auto" w:sz="6" w:space="0"/>
            </w:tcBorders>
            <w:shd w:val="clear" w:color="auto" w:fill="auto"/>
            <w:vAlign w:val="center"/>
          </w:tcPr>
          <w:p w14:paraId="01FE9CDB">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1FD4220D">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人车误入检测装置</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282B11D0">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光幕、红外传感器、地磁（设备配套）</w:t>
            </w:r>
          </w:p>
        </w:tc>
      </w:tr>
      <w:tr w14:paraId="18CF3A20">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01E00886">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18</w:t>
            </w:r>
          </w:p>
        </w:tc>
        <w:tc>
          <w:tcPr>
            <w:tcW w:w="1098" w:type="dxa"/>
            <w:vMerge w:val="continue"/>
            <w:tcBorders>
              <w:left w:val="single" w:color="auto" w:sz="6" w:space="0"/>
              <w:right w:val="single" w:color="auto" w:sz="6" w:space="0"/>
            </w:tcBorders>
            <w:shd w:val="clear" w:color="auto" w:fill="auto"/>
            <w:vAlign w:val="center"/>
          </w:tcPr>
          <w:p w14:paraId="0AB3B0AF">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2A8DDF4D">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车辆尺寸超限检测</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1FBC6083">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超高、超长检测传感器</w:t>
            </w:r>
          </w:p>
        </w:tc>
      </w:tr>
      <w:tr w14:paraId="30D06AE0">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60F5A61E">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19</w:t>
            </w:r>
          </w:p>
        </w:tc>
        <w:tc>
          <w:tcPr>
            <w:tcW w:w="1098" w:type="dxa"/>
            <w:vMerge w:val="continue"/>
            <w:tcBorders>
              <w:left w:val="single" w:color="auto" w:sz="6" w:space="0"/>
              <w:right w:val="single" w:color="auto" w:sz="6" w:space="0"/>
            </w:tcBorders>
            <w:shd w:val="clear" w:color="auto" w:fill="auto"/>
            <w:vAlign w:val="center"/>
          </w:tcPr>
          <w:p w14:paraId="4AF2AFD7">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5B50B2A8">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门锁与联锁装置</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41E2B1EB">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出入口门、检修门安全联锁开关</w:t>
            </w:r>
          </w:p>
        </w:tc>
      </w:tr>
      <w:tr w14:paraId="1DA90030">
        <w:tblPrEx>
          <w:tblBorders>
            <w:top w:val="single" w:color="auto" w:sz="6" w:space="0"/>
            <w:left w:val="single" w:color="auto" w:sz="6" w:space="0"/>
            <w:bottom w:val="single" w:color="auto" w:sz="6" w:space="0"/>
            <w:right w:val="single" w:color="auto" w:sz="6" w:space="0"/>
            <w:insideH w:val="outset" w:color="auto" w:sz="6" w:space="0"/>
            <w:insideV w:val="outset" w:color="auto" w:sz="6" w:space="0"/>
          </w:tblBorders>
          <w:tblCellMar>
            <w:top w:w="15" w:type="dxa"/>
            <w:left w:w="15" w:type="dxa"/>
            <w:bottom w:w="15" w:type="dxa"/>
            <w:right w:w="15" w:type="dxa"/>
          </w:tblCellMar>
        </w:tblPrEx>
        <w:tc>
          <w:tcPr>
            <w:tcW w:w="608" w:type="dxa"/>
            <w:tcBorders>
              <w:top w:val="single" w:color="auto" w:sz="6" w:space="0"/>
              <w:left w:val="single" w:color="auto" w:sz="6" w:space="0"/>
              <w:bottom w:val="single" w:color="auto" w:sz="6" w:space="0"/>
              <w:right w:val="single" w:color="auto" w:sz="6" w:space="0"/>
            </w:tcBorders>
            <w:shd w:val="clear" w:color="auto" w:fill="auto"/>
            <w:vAlign w:val="center"/>
          </w:tcPr>
          <w:p w14:paraId="46A0D96F">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20</w:t>
            </w:r>
          </w:p>
        </w:tc>
        <w:tc>
          <w:tcPr>
            <w:tcW w:w="1098" w:type="dxa"/>
            <w:vMerge w:val="continue"/>
            <w:tcBorders>
              <w:left w:val="single" w:color="auto" w:sz="6" w:space="0"/>
              <w:bottom w:val="single" w:color="auto" w:sz="6" w:space="0"/>
              <w:right w:val="single" w:color="auto" w:sz="6" w:space="0"/>
            </w:tcBorders>
            <w:shd w:val="clear" w:color="auto" w:fill="auto"/>
            <w:vAlign w:val="center"/>
          </w:tcPr>
          <w:p w14:paraId="23C24ACC">
            <w:pPr>
              <w:widowControl/>
              <w:spacing w:line="540" w:lineRule="exact"/>
              <w:jc w:val="left"/>
              <w:rPr>
                <w:rFonts w:ascii="方正仿宋_GB2312" w:hAnsi="方正仿宋_GB2312" w:eastAsia="方正仿宋_GB2312" w:cs="方正仿宋_GB2312"/>
                <w:kern w:val="0"/>
                <w:sz w:val="24"/>
                <w:lang w:bidi="ar"/>
              </w:rPr>
            </w:pP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6FBC34EB">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安全警示装置</w:t>
            </w:r>
          </w:p>
        </w:tc>
        <w:tc>
          <w:tcPr>
            <w:tcW w:w="0" w:type="auto"/>
            <w:tcBorders>
              <w:top w:val="single" w:color="auto" w:sz="6" w:space="0"/>
              <w:left w:val="single" w:color="auto" w:sz="6" w:space="0"/>
              <w:bottom w:val="single" w:color="auto" w:sz="6" w:space="0"/>
              <w:right w:val="single" w:color="auto" w:sz="6" w:space="0"/>
            </w:tcBorders>
            <w:shd w:val="clear" w:color="auto" w:fill="auto"/>
            <w:vAlign w:val="center"/>
          </w:tcPr>
          <w:p w14:paraId="22472025">
            <w:pPr>
              <w:widowControl/>
              <w:spacing w:line="540" w:lineRule="exact"/>
              <w:jc w:val="left"/>
              <w:rPr>
                <w:rFonts w:ascii="方正仿宋_GB2312" w:hAnsi="方正仿宋_GB2312" w:eastAsia="方正仿宋_GB2312" w:cs="方正仿宋_GB2312"/>
                <w:kern w:val="0"/>
                <w:sz w:val="24"/>
                <w:lang w:bidi="ar"/>
              </w:rPr>
            </w:pPr>
            <w:r>
              <w:rPr>
                <w:rFonts w:hint="eastAsia" w:ascii="方正仿宋_GB2312" w:hAnsi="方正仿宋_GB2312" w:eastAsia="方正仿宋_GB2312" w:cs="方正仿宋_GB2312"/>
                <w:kern w:val="0"/>
                <w:sz w:val="24"/>
                <w:lang w:bidi="ar"/>
              </w:rPr>
              <w:t>声光报警器、设备本体警示标识</w:t>
            </w:r>
          </w:p>
        </w:tc>
      </w:tr>
    </w:tbl>
    <w:p w14:paraId="7778F59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说明：本表所列维保内容为本次合同服务的最低要求，乙方应确保所有项目均得到定期检查、保养和维护。</w:t>
      </w:r>
    </w:p>
    <w:p w14:paraId="7673B9D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乙方在执行维保过程中，如发现本表未涵盖但属于设备正常运行所必需的部件存在故障或隐患，也应主动进行检查和处理，并及时向甲方报告。</w:t>
      </w:r>
    </w:p>
    <w:p w14:paraId="50AD484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所有维保操作必须严格遵循国家相关标准（GB/T 31052.11-2015, GB/T 17907-2010, TSG08-2017等）及设备原厂技术手册的要求。</w:t>
      </w:r>
    </w:p>
    <w:p w14:paraId="22BB415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更换备品备件应使用原厂配件或经甲方书面认可的同等质量等级认证的替代品。</w:t>
      </w:r>
    </w:p>
    <w:p w14:paraId="04C63CCA">
      <w:pPr>
        <w:widowControl/>
        <w:spacing w:line="540" w:lineRule="exact"/>
        <w:ind w:firstLine="560" w:firstLineChars="200"/>
        <w:jc w:val="left"/>
        <w:rPr>
          <w:rFonts w:ascii="仿宋_GB2312" w:hAnsi="宋体" w:eastAsia="仿宋_GB2312" w:cs="仿宋_GB2312"/>
          <w:kern w:val="0"/>
          <w:sz w:val="28"/>
          <w:szCs w:val="28"/>
          <w:lang w:bidi="ar"/>
        </w:rPr>
      </w:pPr>
    </w:p>
    <w:p w14:paraId="4416BBDE">
      <w:pPr>
        <w:widowControl/>
        <w:spacing w:line="540" w:lineRule="exact"/>
        <w:ind w:firstLine="560" w:firstLineChars="200"/>
        <w:jc w:val="left"/>
        <w:rPr>
          <w:rFonts w:ascii="仿宋_GB2312" w:hAnsi="宋体" w:eastAsia="仿宋_GB2312" w:cs="仿宋_GB2312"/>
          <w:kern w:val="0"/>
          <w:sz w:val="28"/>
          <w:szCs w:val="28"/>
          <w:lang w:bidi="ar"/>
        </w:rPr>
      </w:pPr>
    </w:p>
    <w:p w14:paraId="37320D1D">
      <w:pPr>
        <w:widowControl/>
        <w:spacing w:line="540" w:lineRule="exact"/>
        <w:ind w:firstLine="560" w:firstLineChars="200"/>
        <w:jc w:val="left"/>
        <w:rPr>
          <w:rFonts w:ascii="仿宋_GB2312" w:hAnsi="宋体" w:eastAsia="仿宋_GB2312" w:cs="仿宋_GB2312"/>
          <w:kern w:val="0"/>
          <w:sz w:val="28"/>
          <w:szCs w:val="28"/>
          <w:lang w:bidi="ar"/>
        </w:rPr>
      </w:pPr>
    </w:p>
    <w:p w14:paraId="162DE6B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甲方（盖章）：                   乙方（盖章）：  </w:t>
      </w:r>
    </w:p>
    <w:p w14:paraId="79F95B90">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法定代表人或                     法定代表人或</w:t>
      </w:r>
    </w:p>
    <w:p w14:paraId="6E3A9606">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授权代表人（签名）：             授权代表人（签名）： </w:t>
      </w:r>
    </w:p>
    <w:p w14:paraId="589A67FA">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                      </w:t>
      </w:r>
    </w:p>
    <w:p w14:paraId="3693CF2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日    期：                      日    期： </w:t>
      </w:r>
    </w:p>
    <w:p w14:paraId="5F7E727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br w:type="page"/>
      </w:r>
    </w:p>
    <w:p w14:paraId="10F93524">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合同附件二：</w:t>
      </w:r>
    </w:p>
    <w:p w14:paraId="4378629F">
      <w:pPr>
        <w:widowControl/>
        <w:spacing w:line="540" w:lineRule="exact"/>
        <w:ind w:firstLine="562" w:firstLineChars="200"/>
        <w:jc w:val="center"/>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紧急故障用户保障承诺</w:t>
      </w:r>
    </w:p>
    <w:p w14:paraId="7C6C3E9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为最大限度保障和平路 P+R 公共停车场用户在设备故障期间的出行权益，我方（维保单位）郑重承诺，在发生车辆被困等紧急故障时，将主动为受影响的车主提供以下保障措施，并从中选择最便捷的一种方式执行：</w:t>
      </w:r>
    </w:p>
    <w:p w14:paraId="5FAAC02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 交通费用报销</w:t>
      </w:r>
    </w:p>
    <w:p w14:paraId="3499D40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车主因取车延误产生的当日打车费用，凭正规发票实报实销，单次报销上限为人民币【 】元。</w:t>
      </w:r>
    </w:p>
    <w:p w14:paraId="0C69190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 紧急交通费垫付</w:t>
      </w:r>
    </w:p>
    <w:p w14:paraId="36F198E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对于急需离开的车主，我方现场人员将当场预支不超过人民币【 】元的现金或电子支付作为紧急交通费，后续无需车主补开发票。</w:t>
      </w:r>
    </w:p>
    <w:p w14:paraId="6D849A3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 临时用车保障</w:t>
      </w:r>
    </w:p>
    <w:p w14:paraId="131CC27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我方将为车主安排临时替代用车，具体方式为：</w:t>
      </w:r>
    </w:p>
    <w:p w14:paraId="515E0A2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租赁车辆保障：为车主协调租赁一辆车辆使用，租赁费用由我方承担（单日上限人民币【 】元，总时长不超过【 】天）。</w:t>
      </w:r>
    </w:p>
    <w:p w14:paraId="1FB864B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 执行原则</w:t>
      </w:r>
    </w:p>
    <w:p w14:paraId="7FFCA58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故障发生后，我方人员将在 15分钟内 联系车主，主动告知并协商选择上述保障方式。</w:t>
      </w:r>
    </w:p>
    <w:p w14:paraId="1A683A1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所有补偿或保障费用由我方承担，不向车主收取任何费用。</w:t>
      </w:r>
    </w:p>
    <w:p w14:paraId="2B884CDC">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我方承诺在服务期间（7×24小时）确保上述保障措施可立即执行。</w:t>
      </w:r>
    </w:p>
    <w:p w14:paraId="26F94D9E">
      <w:pPr>
        <w:widowControl/>
        <w:spacing w:line="540" w:lineRule="exact"/>
        <w:ind w:firstLine="560" w:firstLineChars="200"/>
        <w:jc w:val="left"/>
        <w:rPr>
          <w:rFonts w:ascii="仿宋_GB2312" w:hAnsi="宋体" w:eastAsia="仿宋_GB2312" w:cs="仿宋_GB2312"/>
          <w:kern w:val="0"/>
          <w:sz w:val="28"/>
          <w:szCs w:val="28"/>
          <w:lang w:bidi="ar"/>
        </w:rPr>
      </w:pPr>
    </w:p>
    <w:p w14:paraId="45237AFE">
      <w:pPr>
        <w:widowControl/>
        <w:spacing w:line="540" w:lineRule="exact"/>
        <w:ind w:firstLine="560" w:firstLineChars="200"/>
        <w:jc w:val="left"/>
        <w:rPr>
          <w:rFonts w:ascii="仿宋_GB2312" w:hAnsi="宋体" w:eastAsia="仿宋_GB2312" w:cs="仿宋_GB2312"/>
          <w:kern w:val="0"/>
          <w:sz w:val="28"/>
          <w:szCs w:val="28"/>
          <w:lang w:bidi="ar"/>
        </w:rPr>
      </w:pPr>
    </w:p>
    <w:p w14:paraId="7D323EE2">
      <w:pPr>
        <w:widowControl/>
        <w:spacing w:line="540" w:lineRule="exact"/>
        <w:ind w:firstLine="560" w:firstLineChars="200"/>
        <w:jc w:val="left"/>
        <w:rPr>
          <w:rFonts w:ascii="仿宋_GB2312" w:hAnsi="宋体" w:eastAsia="仿宋_GB2312" w:cs="仿宋_GB2312"/>
          <w:kern w:val="0"/>
          <w:sz w:val="28"/>
          <w:szCs w:val="28"/>
          <w:lang w:bidi="ar"/>
        </w:rPr>
      </w:pPr>
    </w:p>
    <w:p w14:paraId="0BA3516D">
      <w:pPr>
        <w:widowControl/>
        <w:spacing w:line="540" w:lineRule="exact"/>
        <w:ind w:firstLine="560" w:firstLineChars="200"/>
        <w:jc w:val="left"/>
        <w:rPr>
          <w:rFonts w:ascii="仿宋_GB2312" w:hAnsi="宋体" w:eastAsia="仿宋_GB2312" w:cs="仿宋_GB2312"/>
          <w:kern w:val="0"/>
          <w:sz w:val="28"/>
          <w:szCs w:val="28"/>
          <w:lang w:bidi="ar"/>
        </w:rPr>
      </w:pPr>
    </w:p>
    <w:p w14:paraId="137776AD">
      <w:pPr>
        <w:widowControl/>
        <w:spacing w:line="540" w:lineRule="exact"/>
        <w:ind w:firstLine="560" w:firstLineChars="200"/>
        <w:jc w:val="left"/>
        <w:rPr>
          <w:rFonts w:ascii="仿宋_GB2312" w:hAnsi="宋体" w:eastAsia="仿宋_GB2312" w:cs="仿宋_GB2312"/>
          <w:kern w:val="0"/>
          <w:sz w:val="28"/>
          <w:szCs w:val="28"/>
          <w:lang w:bidi="ar"/>
        </w:rPr>
      </w:pPr>
    </w:p>
    <w:p w14:paraId="6910878A">
      <w:pPr>
        <w:widowControl/>
        <w:spacing w:line="540" w:lineRule="exact"/>
        <w:ind w:firstLine="560" w:firstLineChars="200"/>
        <w:jc w:val="left"/>
        <w:rPr>
          <w:rFonts w:ascii="仿宋_GB2312" w:hAnsi="宋体" w:eastAsia="仿宋_GB2312" w:cs="仿宋_GB2312"/>
          <w:kern w:val="0"/>
          <w:sz w:val="28"/>
          <w:szCs w:val="28"/>
          <w:lang w:bidi="ar"/>
        </w:rPr>
      </w:pPr>
    </w:p>
    <w:p w14:paraId="3A2C97E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承诺单位（乙方）（盖章）： [乙方全称]</w:t>
      </w:r>
    </w:p>
    <w:p w14:paraId="5BCCE39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法定代表人或授权代表（签字）：</w:t>
      </w:r>
    </w:p>
    <w:p w14:paraId="5E441429">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日期： 2025 年 月 日</w:t>
      </w:r>
    </w:p>
    <w:p w14:paraId="74C64FD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br w:type="page"/>
      </w:r>
    </w:p>
    <w:p w14:paraId="76F20155">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附件三：</w:t>
      </w:r>
    </w:p>
    <w:p w14:paraId="3D2A216D">
      <w:pPr>
        <w:widowControl/>
        <w:spacing w:line="540" w:lineRule="exact"/>
        <w:jc w:val="center"/>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安全生产合同书</w:t>
      </w:r>
    </w:p>
    <w:p w14:paraId="14511CB4">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甲方：合肥城市泊车投资管理有限公司  </w:t>
      </w:r>
    </w:p>
    <w:p w14:paraId="06C6F186">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乙方：                                                            </w:t>
      </w:r>
    </w:p>
    <w:p w14:paraId="192C43C6">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一、目的</w:t>
      </w:r>
    </w:p>
    <w:p w14:paraId="5230CF3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为维护甲乙双方合法权益，保证施工质量和安全生产，形成良好的工作秩序和施工场所卫生环境，经甲乙双方平等协商，签定本施工安全生产合同书。</w:t>
      </w:r>
    </w:p>
    <w:p w14:paraId="3589FAA6">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二、安全目标</w:t>
      </w:r>
    </w:p>
    <w:p w14:paraId="0961765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1、不发生轻伤及以上人身伤害事故；</w:t>
      </w:r>
    </w:p>
    <w:p w14:paraId="7B05BEB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2、不发生火灾、爆炸事故；</w:t>
      </w:r>
    </w:p>
    <w:p w14:paraId="267388B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3、不发生环境污染事故；</w:t>
      </w:r>
    </w:p>
    <w:p w14:paraId="3951B57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4、杜绝违章指挥、违章作业、违反劳动纪律。</w:t>
      </w:r>
    </w:p>
    <w:p w14:paraId="0EAB8B46">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三、安全职责</w:t>
      </w:r>
    </w:p>
    <w:p w14:paraId="660AA543">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1、根据安全生产相关法律法规要求，甲方应当进行安全资质审查，对乙方的营业执照、施工资质和安全施工资格证书等进行审查。</w:t>
      </w:r>
    </w:p>
    <w:p w14:paraId="4172FB5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2、乙方应自觉遵守并执行《安全生产法》、GB/T 17907-2010《机械式停车设备 通用安全要求》及相关规范；自觉遵守当地政府和行业主管部门颁布实施的相关法律、法规及各项规定，并积极参加安全生产各项活动，切实保障施工人员的安全与健康；遵守甲方工程安全管理制度。</w:t>
      </w:r>
    </w:p>
    <w:p w14:paraId="7320358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3、进场施工前，乙方应对其所有工作人员进行三级安全教育，经培训合格后方可上岗；乙方必须执行安全技术交底制度、安全例会制度与班前安全讲话制度，并做好跟踪检查管理工作。</w:t>
      </w:r>
    </w:p>
    <w:p w14:paraId="35B36E5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4、乙方施工队负责人或班组长是施工队伍的第一安全责任人，对施工过程中的安全负全责。同时乙方必须明确安全生产责任制，制定合理的安全措施。</w:t>
      </w:r>
    </w:p>
    <w:p w14:paraId="3F9CCCD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乙方应在指定工作范围和双方约定的时间内进行工作。乙方应服从甲方管理，不得违章作业和违反本合同的有关规定，如乙方有违章行为或违反甲方的管理规定，甲方有权要求乙方停工，造成不良影响的乙方应负全部职责。</w:t>
      </w:r>
    </w:p>
    <w:p w14:paraId="7D6BD1C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6、乙方应在施工区域设置明显标志，对于时间较长的集中性施工项目应设围挡做封闭处理，夜间配备合理照明设施，引导车辆行人；施工人员应在施工区域内活动，不得随意进入非施工区域。</w:t>
      </w:r>
    </w:p>
    <w:p w14:paraId="2C5CF3C0">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7、施工过程中甲方实行监督检查制度。甲方有权随时进行检查，有权制止违章作业，有权对违反安全规定的行为进行处罚或责令施工队伍停工整顿。</w:t>
      </w:r>
    </w:p>
    <w:p w14:paraId="04FFE8D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8、乙方在施工过程中应遵守下列规定：</w:t>
      </w:r>
    </w:p>
    <w:p w14:paraId="68943CA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(1)设立现场工作负责人和安全监督员，对现场施工安全进行全过程监督，对作业区周围存在的孔洞、沟道、带电部位等危险区域应设防护措施和安全警示标识，必要时设专人监护。</w:t>
      </w:r>
    </w:p>
    <w:p w14:paraId="19E77D28">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(2)施工人员应按规定正确使用安全防护用具，防止发生机械伤害、物体打击、高处坠落等事故。特种作业人员必须携带特种作业操作证。</w:t>
      </w:r>
    </w:p>
    <w:p w14:paraId="60B91AA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(3)施工机器进出场或在场内作业应遵守相关规定，车辆进场应降低车速，应不大于5 km/h；施工人员场内作业或场外活动应注意交通安全；需要断路施工时，应设隔离措施，并有专人引导，施工用料和工器具应按规定地点摆放整齐，不得随意乱堆乱放。</w:t>
      </w:r>
    </w:p>
    <w:p w14:paraId="383F8E0C">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(4)施工过程中如需动火作业，应根据动火级别由施工单位向甲方提出申请，经批准并确认到达动火条件、落实安全防范措施后方可进行动火作业。</w:t>
      </w:r>
    </w:p>
    <w:p w14:paraId="793929F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(5)电气焊等特种作业人员应持证上岗，且应具备必须水平的特种作业的安全知识和技能。电气焊作业时必须做好消防措施。</w:t>
      </w:r>
    </w:p>
    <w:p w14:paraId="210CC1A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(6)使用临时电源时，必须配置合格的漏电保护装置，应经常检查漏电保护装置的可靠性。</w:t>
      </w:r>
    </w:p>
    <w:p w14:paraId="016CF491">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(7)使用电动工具前，必须认真检查其是否完好，有无漏电，禁止使用不合格的工器具。在潮湿狭小空间内使用手持电动工具作业时，应采取措施防止电动工具受潮造成漏电。</w:t>
      </w:r>
    </w:p>
    <w:p w14:paraId="4BEEFF32">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(8)搬运梯子长物等时，必须放倒搬运，防止触碰带电设备。</w:t>
      </w:r>
    </w:p>
    <w:p w14:paraId="2AC0F490">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(9)进入有限空间作业前，乙方应向甲方提出作业申请，执行有限空间审批制度。乙方进行有限空间作业时，应对有限空间进行安全检测，配备必要的安全防护用品，注意通风，防止缺氧窒息及有毒有害气体对作业人员造成伤害。</w:t>
      </w:r>
    </w:p>
    <w:p w14:paraId="4772FD9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(10)施工现场禁止流动吸烟，禁止随地吐痰、乱丢烟头及其他杂物，保证环境整洁。</w:t>
      </w:r>
    </w:p>
    <w:p w14:paraId="21789747">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(11)乙方在施工过程中如发生安全事故应及时通知甲方，保护事故现场，并接受甲方的调查。</w:t>
      </w:r>
    </w:p>
    <w:p w14:paraId="2A504274">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(12)乙方应认真学习和贯彻《卫生检疫法》，做好新冠肺炎等传染病防控工作，保证饮食卫生，防止食物中毒。</w:t>
      </w:r>
    </w:p>
    <w:p w14:paraId="641236CD">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(13)乙方在雨季</w:t>
      </w:r>
      <w:bookmarkStart w:id="5" w:name="_Hlk59530279"/>
      <w:r>
        <w:rPr>
          <w:rFonts w:hint="eastAsia" w:ascii="仿宋_GB2312" w:hAnsi="宋体" w:eastAsia="仿宋_GB2312" w:cs="仿宋_GB2312"/>
          <w:kern w:val="0"/>
          <w:sz w:val="28"/>
          <w:szCs w:val="28"/>
          <w:lang w:bidi="ar"/>
        </w:rPr>
        <w:t>应做好</w:t>
      </w:r>
      <w:bookmarkEnd w:id="5"/>
      <w:r>
        <w:rPr>
          <w:rFonts w:hint="eastAsia" w:ascii="仿宋_GB2312" w:hAnsi="宋体" w:eastAsia="仿宋_GB2312" w:cs="仿宋_GB2312"/>
          <w:kern w:val="0"/>
          <w:sz w:val="28"/>
          <w:szCs w:val="28"/>
          <w:lang w:bidi="ar"/>
        </w:rPr>
        <w:t>防汛工作，夏季应做好防暑降温工作，冬季应做好冬防措施，保证人员健康安全和工程质量。</w:t>
      </w:r>
    </w:p>
    <w:p w14:paraId="29CD4E6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9、其他未尽事宜由甲乙双方协商解决。</w:t>
      </w:r>
    </w:p>
    <w:p w14:paraId="4446CABF">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四、奖罚办法</w:t>
      </w:r>
    </w:p>
    <w:p w14:paraId="6ADCD3BB">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乙方在施工中凡因违反本合同约定的各项安全生产义务而发生工伤事故或造成第三方人身、财产损害的，应承担相应的赔偿责任；给甲方造成损失的，包括但不限于保全费、诉讼费、律师费、鉴定费等，甲方有权要求乙方承担赔偿责任。</w:t>
      </w:r>
    </w:p>
    <w:p w14:paraId="34B39EAD">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五、其他事项</w:t>
      </w:r>
    </w:p>
    <w:p w14:paraId="69DB227F">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1、乙方应按有关规定，采取严格的安全防护措施，否则由于自身安全措施不力而造成事故的职责由乙方自行承担。</w:t>
      </w:r>
    </w:p>
    <w:p w14:paraId="16C73F33">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2、本合同书一式陆份，甲方叁份，乙方叁份，经双方签字并盖章之日起生效。</w:t>
      </w:r>
    </w:p>
    <w:p w14:paraId="74D051EE">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3、本合同约定的各项权利义务系针对《XXXXXXXXX》（合同编号：XXXX-2025-XXX）内容的补充与完善，前述合同未予约定或者与本合同约定不一致的内容，以本合同为准。</w:t>
      </w:r>
    </w:p>
    <w:p w14:paraId="76E3FF75">
      <w:pPr>
        <w:widowControl/>
        <w:spacing w:line="540" w:lineRule="exact"/>
        <w:ind w:firstLine="560" w:firstLineChars="200"/>
        <w:jc w:val="left"/>
        <w:rPr>
          <w:rFonts w:ascii="仿宋_GB2312" w:hAnsi="宋体" w:eastAsia="仿宋_GB2312" w:cs="仿宋_GB2312"/>
          <w:kern w:val="0"/>
          <w:sz w:val="28"/>
          <w:szCs w:val="28"/>
          <w:lang w:bidi="ar"/>
        </w:rPr>
      </w:pPr>
    </w:p>
    <w:p w14:paraId="23CC3034">
      <w:pPr>
        <w:widowControl/>
        <w:spacing w:line="540" w:lineRule="exact"/>
        <w:ind w:firstLine="560" w:firstLineChars="200"/>
        <w:jc w:val="left"/>
        <w:rPr>
          <w:rFonts w:ascii="仿宋_GB2312" w:hAnsi="宋体" w:eastAsia="仿宋_GB2312" w:cs="仿宋_GB2312"/>
          <w:kern w:val="0"/>
          <w:sz w:val="28"/>
          <w:szCs w:val="28"/>
          <w:lang w:bidi="ar"/>
        </w:rPr>
      </w:pPr>
    </w:p>
    <w:p w14:paraId="6B6208BD">
      <w:pPr>
        <w:widowControl/>
        <w:spacing w:line="540" w:lineRule="exact"/>
        <w:ind w:firstLine="560" w:firstLineChars="200"/>
        <w:jc w:val="left"/>
        <w:rPr>
          <w:rFonts w:ascii="仿宋_GB2312" w:hAnsi="宋体" w:eastAsia="仿宋_GB2312" w:cs="仿宋_GB2312"/>
          <w:kern w:val="0"/>
          <w:sz w:val="28"/>
          <w:szCs w:val="28"/>
          <w:lang w:bidi="ar"/>
        </w:rPr>
      </w:pPr>
    </w:p>
    <w:p w14:paraId="2AF6304D">
      <w:pPr>
        <w:widowControl/>
        <w:spacing w:line="540" w:lineRule="exact"/>
        <w:ind w:firstLine="560" w:firstLineChars="200"/>
        <w:jc w:val="left"/>
        <w:rPr>
          <w:rFonts w:ascii="仿宋_GB2312" w:hAnsi="宋体" w:eastAsia="仿宋_GB2312" w:cs="仿宋_GB2312"/>
          <w:kern w:val="0"/>
          <w:sz w:val="28"/>
          <w:szCs w:val="28"/>
          <w:lang w:bidi="ar"/>
        </w:rPr>
      </w:pPr>
    </w:p>
    <w:p w14:paraId="41A7B458">
      <w:pPr>
        <w:widowControl/>
        <w:spacing w:line="540" w:lineRule="exact"/>
        <w:ind w:firstLine="560" w:firstLineChars="200"/>
        <w:jc w:val="left"/>
        <w:rPr>
          <w:rFonts w:ascii="仿宋_GB2312" w:hAnsi="宋体" w:eastAsia="仿宋_GB2312" w:cs="仿宋_GB2312"/>
          <w:kern w:val="0"/>
          <w:sz w:val="28"/>
          <w:szCs w:val="28"/>
          <w:lang w:bidi="ar"/>
        </w:rPr>
      </w:pPr>
    </w:p>
    <w:p w14:paraId="59BE5A8D">
      <w:pPr>
        <w:widowControl/>
        <w:spacing w:line="540" w:lineRule="exact"/>
        <w:ind w:firstLine="560" w:firstLineChars="200"/>
        <w:jc w:val="left"/>
        <w:rPr>
          <w:rFonts w:ascii="仿宋_GB2312" w:hAnsi="宋体" w:eastAsia="仿宋_GB2312" w:cs="仿宋_GB2312"/>
          <w:kern w:val="0"/>
          <w:sz w:val="28"/>
          <w:szCs w:val="28"/>
          <w:lang w:bidi="ar"/>
        </w:rPr>
      </w:pPr>
    </w:p>
    <w:p w14:paraId="76A4B11B">
      <w:pPr>
        <w:widowControl/>
        <w:spacing w:line="540" w:lineRule="exact"/>
        <w:ind w:firstLine="560" w:firstLineChars="200"/>
        <w:jc w:val="left"/>
        <w:rPr>
          <w:rFonts w:ascii="仿宋_GB2312" w:hAnsi="宋体" w:eastAsia="仿宋_GB2312" w:cs="仿宋_GB2312"/>
          <w:kern w:val="0"/>
          <w:sz w:val="28"/>
          <w:szCs w:val="28"/>
          <w:lang w:bidi="ar"/>
        </w:rPr>
      </w:pPr>
    </w:p>
    <w:p w14:paraId="272B4981">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w:t>
      </w:r>
    </w:p>
    <w:p w14:paraId="42AF9488">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甲方盖章：___________       乙方盖章：___________</w:t>
      </w:r>
    </w:p>
    <w:p w14:paraId="64E207DC">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甲方代表：___________       乙方代表：___________</w:t>
      </w:r>
    </w:p>
    <w:p w14:paraId="4E5476AF">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联系电话：                  联系电话：</w:t>
      </w:r>
    </w:p>
    <w:p w14:paraId="195A09C5">
      <w:pPr>
        <w:widowControl/>
        <w:spacing w:line="540" w:lineRule="exact"/>
        <w:ind w:firstLine="560" w:firstLineChars="200"/>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                               </w:t>
      </w:r>
    </w:p>
    <w:p w14:paraId="2E357726">
      <w:pPr>
        <w:widowControl/>
        <w:spacing w:line="540" w:lineRule="exact"/>
        <w:ind w:firstLine="560" w:firstLineChars="200"/>
        <w:jc w:val="righ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 xml:space="preserve">         2025年  月  日</w:t>
      </w:r>
    </w:p>
    <w:p w14:paraId="5428C991">
      <w:pPr>
        <w:ind w:firstLine="420" w:firstLineChars="200"/>
        <w:jc w:val="cente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C51D2F3-824A-4B17-9000-672F547111F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A0AA650E-C304-4EFC-90CF-C960DDE133A1}"/>
  </w:font>
  <w:font w:name="方正仿宋_GB2312">
    <w:panose1 w:val="02000000000000000000"/>
    <w:charset w:val="86"/>
    <w:family w:val="auto"/>
    <w:pitch w:val="default"/>
    <w:sig w:usb0="A00002BF" w:usb1="184F6CFA" w:usb2="00000012" w:usb3="00000000" w:csb0="00040001" w:csb1="00000000"/>
    <w:embedRegular r:id="rId3" w:fontKey="{37C7AE78-FB74-4468-8F49-3D33087FD56C}"/>
  </w:font>
  <w:font w:name="方正小标宋简体">
    <w:altName w:val="仿宋_GB2312"/>
    <w:panose1 w:val="02010601030101010101"/>
    <w:charset w:val="86"/>
    <w:family w:val="auto"/>
    <w:pitch w:val="default"/>
    <w:sig w:usb0="00000000" w:usb1="00000000" w:usb2="00000010" w:usb3="00000000" w:csb0="00040000" w:csb1="00000000"/>
    <w:embedRegular r:id="rId4" w:fontKey="{BAA96CB8-7DE7-422C-8BA7-7643853160B4}"/>
  </w:font>
  <w:font w:name="仿宋_GB2312">
    <w:panose1 w:val="02010609030101010101"/>
    <w:charset w:val="86"/>
    <w:family w:val="modern"/>
    <w:pitch w:val="default"/>
    <w:sig w:usb0="00000001" w:usb1="080E0000" w:usb2="00000000" w:usb3="00000000" w:csb0="00040000" w:csb1="00000000"/>
    <w:embedRegular r:id="rId5" w:fontKey="{820A85F8-5A06-499B-AC5E-783AD296DED2}"/>
  </w:font>
  <w:font w:name="仿宋">
    <w:panose1 w:val="02010609060101010101"/>
    <w:charset w:val="86"/>
    <w:family w:val="modern"/>
    <w:pitch w:val="default"/>
    <w:sig w:usb0="800002BF" w:usb1="38CF7CFA" w:usb2="00000016" w:usb3="00000000" w:csb0="00040001" w:csb1="00000000"/>
    <w:embedRegular r:id="rId6" w:fontKey="{1C2F7D7D-E7D9-41B5-B2AE-77DC53840444}"/>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4F51A8">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A8D484">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EA8D484">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8012E2"/>
    <w:multiLevelType w:val="singleLevel"/>
    <w:tmpl w:val="848012E2"/>
    <w:lvl w:ilvl="0" w:tentative="0">
      <w:start w:val="10"/>
      <w:numFmt w:val="chineseCounting"/>
      <w:suff w:val="nothing"/>
      <w:lvlText w:val="%1、"/>
      <w:lvlJc w:val="left"/>
      <w:rPr>
        <w:rFonts w:hint="eastAsia"/>
      </w:r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abstractNum w:abstractNumId="2">
    <w:nsid w:val="6E8EBAE6"/>
    <w:multiLevelType w:val="singleLevel"/>
    <w:tmpl w:val="6E8EBAE6"/>
    <w:lvl w:ilvl="0" w:tentative="0">
      <w:start w:val="7"/>
      <w:numFmt w:val="decimal"/>
      <w:suff w:val="space"/>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E0ODc4YWY0YjU5ZWY5Nzg3MTEzYzQ1ZGQ1MmQyMmEifQ=="/>
  </w:docVars>
  <w:rsids>
    <w:rsidRoot w:val="6B262C54"/>
    <w:rsid w:val="00003F15"/>
    <w:rsid w:val="000110A5"/>
    <w:rsid w:val="000910CD"/>
    <w:rsid w:val="00144E12"/>
    <w:rsid w:val="00196971"/>
    <w:rsid w:val="002129C0"/>
    <w:rsid w:val="00225C8B"/>
    <w:rsid w:val="00301B2B"/>
    <w:rsid w:val="004C7884"/>
    <w:rsid w:val="005548C9"/>
    <w:rsid w:val="0059282A"/>
    <w:rsid w:val="006D2362"/>
    <w:rsid w:val="006F1F44"/>
    <w:rsid w:val="0070762B"/>
    <w:rsid w:val="007E2894"/>
    <w:rsid w:val="0082471E"/>
    <w:rsid w:val="00B57F8A"/>
    <w:rsid w:val="00D01D86"/>
    <w:rsid w:val="00D05BC6"/>
    <w:rsid w:val="02EB239A"/>
    <w:rsid w:val="03004097"/>
    <w:rsid w:val="03091250"/>
    <w:rsid w:val="04510922"/>
    <w:rsid w:val="051C4A8C"/>
    <w:rsid w:val="08DF02AB"/>
    <w:rsid w:val="0C413D3E"/>
    <w:rsid w:val="0E266908"/>
    <w:rsid w:val="0E49753B"/>
    <w:rsid w:val="119105B0"/>
    <w:rsid w:val="12D527C1"/>
    <w:rsid w:val="137D7772"/>
    <w:rsid w:val="150C0EEF"/>
    <w:rsid w:val="17125CEF"/>
    <w:rsid w:val="17322457"/>
    <w:rsid w:val="17DA1E3E"/>
    <w:rsid w:val="194A1770"/>
    <w:rsid w:val="198A4263"/>
    <w:rsid w:val="1B1F697F"/>
    <w:rsid w:val="1DBE4416"/>
    <w:rsid w:val="1DDD524D"/>
    <w:rsid w:val="1FA83694"/>
    <w:rsid w:val="204539F3"/>
    <w:rsid w:val="20833799"/>
    <w:rsid w:val="21480A2B"/>
    <w:rsid w:val="22B45EAC"/>
    <w:rsid w:val="22FC638F"/>
    <w:rsid w:val="23866333"/>
    <w:rsid w:val="25760785"/>
    <w:rsid w:val="25D90851"/>
    <w:rsid w:val="26413EFB"/>
    <w:rsid w:val="29216F58"/>
    <w:rsid w:val="293E0BC6"/>
    <w:rsid w:val="29A70519"/>
    <w:rsid w:val="2A6B7798"/>
    <w:rsid w:val="30252A1F"/>
    <w:rsid w:val="30391CCE"/>
    <w:rsid w:val="311E5564"/>
    <w:rsid w:val="326E42CA"/>
    <w:rsid w:val="35002171"/>
    <w:rsid w:val="35243365"/>
    <w:rsid w:val="35C34243"/>
    <w:rsid w:val="36D05553"/>
    <w:rsid w:val="382471D8"/>
    <w:rsid w:val="385555E4"/>
    <w:rsid w:val="39427657"/>
    <w:rsid w:val="395F1C11"/>
    <w:rsid w:val="3ADC3D83"/>
    <w:rsid w:val="3C463BC1"/>
    <w:rsid w:val="3DE73182"/>
    <w:rsid w:val="3E891D2E"/>
    <w:rsid w:val="3F051B12"/>
    <w:rsid w:val="3F8213B4"/>
    <w:rsid w:val="40D01B5B"/>
    <w:rsid w:val="40DF7B34"/>
    <w:rsid w:val="40F123AF"/>
    <w:rsid w:val="41611170"/>
    <w:rsid w:val="424A4A9E"/>
    <w:rsid w:val="42EC2581"/>
    <w:rsid w:val="444A5998"/>
    <w:rsid w:val="455B07C9"/>
    <w:rsid w:val="47480CBD"/>
    <w:rsid w:val="484D0086"/>
    <w:rsid w:val="48D34FA8"/>
    <w:rsid w:val="48DF6D49"/>
    <w:rsid w:val="49397EDB"/>
    <w:rsid w:val="49A87C69"/>
    <w:rsid w:val="4B117A90"/>
    <w:rsid w:val="4B326CDB"/>
    <w:rsid w:val="4C9646F1"/>
    <w:rsid w:val="4D1B4BF6"/>
    <w:rsid w:val="4F4533DB"/>
    <w:rsid w:val="51850F13"/>
    <w:rsid w:val="51D004F0"/>
    <w:rsid w:val="53422EDD"/>
    <w:rsid w:val="53C47D96"/>
    <w:rsid w:val="55CA0F67"/>
    <w:rsid w:val="56344A2D"/>
    <w:rsid w:val="578C4726"/>
    <w:rsid w:val="57D9741F"/>
    <w:rsid w:val="5866141B"/>
    <w:rsid w:val="58694977"/>
    <w:rsid w:val="596731E5"/>
    <w:rsid w:val="598B70EC"/>
    <w:rsid w:val="59F82547"/>
    <w:rsid w:val="5BE014E5"/>
    <w:rsid w:val="5C3D4C5F"/>
    <w:rsid w:val="5DC42740"/>
    <w:rsid w:val="5EC5741C"/>
    <w:rsid w:val="5F941362"/>
    <w:rsid w:val="61B825BC"/>
    <w:rsid w:val="61C805F8"/>
    <w:rsid w:val="625E1912"/>
    <w:rsid w:val="63287D15"/>
    <w:rsid w:val="647D5514"/>
    <w:rsid w:val="64B90B25"/>
    <w:rsid w:val="65812A2B"/>
    <w:rsid w:val="6A9E2C97"/>
    <w:rsid w:val="6ACB3360"/>
    <w:rsid w:val="6AF97ECD"/>
    <w:rsid w:val="6B262C54"/>
    <w:rsid w:val="6DD15131"/>
    <w:rsid w:val="6FAA5C3A"/>
    <w:rsid w:val="70D171F6"/>
    <w:rsid w:val="7157594D"/>
    <w:rsid w:val="742D6E39"/>
    <w:rsid w:val="76645F0C"/>
    <w:rsid w:val="77065E4C"/>
    <w:rsid w:val="79ED738C"/>
    <w:rsid w:val="7ADE0E8D"/>
    <w:rsid w:val="7B7018CD"/>
    <w:rsid w:val="7D231D04"/>
    <w:rsid w:val="7D3E3E65"/>
    <w:rsid w:val="7DB34E00"/>
    <w:rsid w:val="7E983B4C"/>
    <w:rsid w:val="7F4C46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link w:val="27"/>
    <w:qFormat/>
    <w:uiPriority w:val="0"/>
    <w:pPr>
      <w:jc w:val="left"/>
    </w:pPr>
  </w:style>
  <w:style w:type="paragraph" w:styleId="5">
    <w:name w:val="Body Text"/>
    <w:basedOn w:val="1"/>
    <w:next w:val="6"/>
    <w:qFormat/>
    <w:uiPriority w:val="0"/>
    <w:rPr>
      <w:rFonts w:ascii="宋体" w:hAnsi="Arial"/>
      <w:sz w:val="28"/>
    </w:rPr>
  </w:style>
  <w:style w:type="paragraph" w:customStyle="1" w:styleId="6">
    <w:name w:val="xl27"/>
    <w:basedOn w:val="1"/>
    <w:next w:val="7"/>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center"/>
    </w:pPr>
    <w:rPr>
      <w:rFonts w:ascii="宋体" w:hAnsi="宋体"/>
      <w:kern w:val="0"/>
      <w:sz w:val="18"/>
      <w:szCs w:val="18"/>
    </w:rPr>
  </w:style>
  <w:style w:type="paragraph" w:customStyle="1" w:styleId="7">
    <w:name w:val="A正文"/>
    <w:qFormat/>
    <w:uiPriority w:val="0"/>
    <w:pPr>
      <w:overflowPunct w:val="0"/>
      <w:autoSpaceDE w:val="0"/>
      <w:autoSpaceDN w:val="0"/>
      <w:adjustRightInd w:val="0"/>
      <w:snapToGrid w:val="0"/>
      <w:spacing w:line="360" w:lineRule="auto"/>
      <w:ind w:firstLine="200" w:firstLineChars="200"/>
      <w:textAlignment w:val="baseline"/>
    </w:pPr>
    <w:rPr>
      <w:rFonts w:ascii="Times New Roman" w:hAnsi="Times New Roman" w:eastAsia="宋体" w:cs="Times New Roman"/>
      <w:color w:val="000000"/>
      <w:kern w:val="2"/>
      <w:sz w:val="24"/>
      <w:szCs w:val="22"/>
      <w:lang w:val="en-US" w:eastAsia="zh-CN" w:bidi="ar-SA"/>
    </w:rPr>
  </w:style>
  <w:style w:type="paragraph" w:styleId="8">
    <w:name w:val="Body Text Indent"/>
    <w:basedOn w:val="1"/>
    <w:next w:val="5"/>
    <w:qFormat/>
    <w:uiPriority w:val="0"/>
    <w:pPr>
      <w:ind w:firstLine="645"/>
    </w:pPr>
    <w:rPr>
      <w:rFonts w:ascii="方正仿宋_GB2312" w:eastAsia="方正仿宋_GB2312"/>
      <w:sz w:val="32"/>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Normal (Web)"/>
    <w:basedOn w:val="1"/>
    <w:next w:val="1"/>
    <w:autoRedefine/>
    <w:qFormat/>
    <w:uiPriority w:val="0"/>
    <w:pPr>
      <w:spacing w:beforeAutospacing="1" w:afterAutospacing="1"/>
      <w:jc w:val="left"/>
    </w:pPr>
    <w:rPr>
      <w:rFonts w:cs="Times New Roman"/>
      <w:kern w:val="0"/>
      <w:sz w:val="24"/>
    </w:rPr>
  </w:style>
  <w:style w:type="paragraph" w:styleId="12">
    <w:name w:val="annotation subject"/>
    <w:basedOn w:val="4"/>
    <w:next w:val="4"/>
    <w:link w:val="28"/>
    <w:qFormat/>
    <w:uiPriority w:val="0"/>
    <w:rPr>
      <w:b/>
      <w:bCs/>
    </w:rPr>
  </w:style>
  <w:style w:type="paragraph" w:styleId="13">
    <w:name w:val="Body Text First Indent 2"/>
    <w:basedOn w:val="8"/>
    <w:next w:val="14"/>
    <w:qFormat/>
    <w:uiPriority w:val="0"/>
    <w:pPr>
      <w:ind w:firstLine="420"/>
    </w:pPr>
  </w:style>
  <w:style w:type="paragraph" w:customStyle="1" w:styleId="14">
    <w:name w:val="正文格式"/>
    <w:basedOn w:val="1"/>
    <w:qFormat/>
    <w:uiPriority w:val="0"/>
    <w:rPr>
      <w:sz w:val="28"/>
    </w:rPr>
  </w:style>
  <w:style w:type="table" w:styleId="16">
    <w:name w:val="Table Grid"/>
    <w:basedOn w:val="1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character" w:styleId="19">
    <w:name w:val="page number"/>
    <w:basedOn w:val="17"/>
    <w:qFormat/>
    <w:uiPriority w:val="0"/>
  </w:style>
  <w:style w:type="character" w:styleId="20">
    <w:name w:val="annotation reference"/>
    <w:basedOn w:val="17"/>
    <w:qFormat/>
    <w:uiPriority w:val="0"/>
    <w:rPr>
      <w:sz w:val="21"/>
      <w:szCs w:val="21"/>
    </w:rPr>
  </w:style>
  <w:style w:type="paragraph" w:styleId="21">
    <w:name w:val="List Paragraph"/>
    <w:basedOn w:val="1"/>
    <w:qFormat/>
    <w:uiPriority w:val="1"/>
    <w:pPr>
      <w:ind w:left="120" w:firstLine="420"/>
    </w:pPr>
    <w:rPr>
      <w:rFonts w:ascii="宋体" w:hAnsi="宋体" w:cs="宋体"/>
      <w:lang w:val="zh-CN" w:bidi="zh-CN"/>
    </w:rPr>
  </w:style>
  <w:style w:type="paragraph" w:customStyle="1" w:styleId="22">
    <w:name w:val="Table Paragraph"/>
    <w:basedOn w:val="1"/>
    <w:autoRedefine/>
    <w:qFormat/>
    <w:uiPriority w:val="1"/>
    <w:rPr>
      <w:rFonts w:ascii="宋体" w:hAnsi="宋体" w:cs="宋体"/>
      <w:lang w:val="zh-CN" w:bidi="zh-CN"/>
    </w:rPr>
  </w:style>
  <w:style w:type="paragraph" w:customStyle="1" w:styleId="23">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4">
    <w:name w:val="font41"/>
    <w:basedOn w:val="17"/>
    <w:qFormat/>
    <w:uiPriority w:val="0"/>
    <w:rPr>
      <w:rFonts w:ascii="Arial" w:hAnsi="Arial" w:cs="Arial"/>
      <w:color w:val="000000"/>
      <w:sz w:val="22"/>
      <w:szCs w:val="22"/>
      <w:u w:val="none"/>
    </w:rPr>
  </w:style>
  <w:style w:type="character" w:customStyle="1" w:styleId="25">
    <w:name w:val="font51"/>
    <w:basedOn w:val="17"/>
    <w:autoRedefine/>
    <w:qFormat/>
    <w:uiPriority w:val="0"/>
    <w:rPr>
      <w:rFonts w:ascii="宋体" w:hAnsi="宋体" w:eastAsia="宋体" w:cs="宋体"/>
      <w:color w:val="000000"/>
      <w:sz w:val="24"/>
      <w:szCs w:val="24"/>
      <w:u w:val="none"/>
    </w:rPr>
  </w:style>
  <w:style w:type="character" w:customStyle="1" w:styleId="26">
    <w:name w:val="font61"/>
    <w:basedOn w:val="17"/>
    <w:qFormat/>
    <w:uiPriority w:val="0"/>
    <w:rPr>
      <w:rFonts w:hint="eastAsia" w:ascii="宋体" w:hAnsi="宋体" w:eastAsia="宋体" w:cs="宋体"/>
      <w:color w:val="000000"/>
      <w:sz w:val="24"/>
      <w:szCs w:val="24"/>
      <w:u w:val="none"/>
    </w:rPr>
  </w:style>
  <w:style w:type="character" w:customStyle="1" w:styleId="27">
    <w:name w:val="批注文字 字符"/>
    <w:basedOn w:val="17"/>
    <w:link w:val="4"/>
    <w:qFormat/>
    <w:uiPriority w:val="0"/>
    <w:rPr>
      <w:rFonts w:asciiTheme="minorHAnsi" w:hAnsiTheme="minorHAnsi" w:eastAsiaTheme="minorEastAsia" w:cstheme="minorBidi"/>
      <w:kern w:val="2"/>
      <w:sz w:val="21"/>
      <w:szCs w:val="24"/>
    </w:rPr>
  </w:style>
  <w:style w:type="character" w:customStyle="1" w:styleId="28">
    <w:name w:val="批注主题 字符"/>
    <w:basedOn w:val="27"/>
    <w:link w:val="12"/>
    <w:qFormat/>
    <w:uiPriority w:val="0"/>
    <w:rPr>
      <w:rFonts w:asciiTheme="minorHAnsi" w:hAnsiTheme="minorHAnsi" w:eastAsiaTheme="minorEastAsia" w:cstheme="minorBidi"/>
      <w:b/>
      <w:bCs/>
      <w:kern w:val="2"/>
      <w:sz w:val="21"/>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38</Pages>
  <Words>2487</Words>
  <Characters>2649</Characters>
  <Lines>124</Lines>
  <Paragraphs>35</Paragraphs>
  <TotalTime>7</TotalTime>
  <ScaleCrop>false</ScaleCrop>
  <LinksUpToDate>false</LinksUpToDate>
  <CharactersWithSpaces>2717</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潘高成</cp:lastModifiedBy>
  <dcterms:modified xsi:type="dcterms:W3CDTF">2025-10-15T02:22:03Z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CE983788ABC046F584022066FE267AEE_13</vt:lpwstr>
  </property>
  <property fmtid="{D5CDD505-2E9C-101B-9397-08002B2CF9AE}" pid="4" name="KSOTemplateDocerSaveRecord">
    <vt:lpwstr>eyJoZGlkIjoiYjE0ODc4YWY0YjU5ZWY5Nzg3MTEzYzQ1ZGQ1MmQyMmEiLCJ1c2VySWQiOiIxNjMxMDU2OTE0In0=</vt:lpwstr>
  </property>
</Properties>
</file>